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142CC079"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263A3F">
        <w:rPr>
          <w:rFonts w:eastAsia="Times New Roman" w:cs="Arial"/>
          <w:bCs/>
          <w:noProof/>
          <w:sz w:val="20"/>
          <w:szCs w:val="18"/>
          <w:lang w:val="en-US" w:eastAsia="zh-CN"/>
        </w:rPr>
        <w:t>16</w:t>
      </w:r>
      <w:r w:rsidR="004A4B46">
        <w:rPr>
          <w:rFonts w:eastAsia="Times New Roman" w:cs="Arial"/>
          <w:bCs/>
          <w:noProof/>
          <w:sz w:val="20"/>
          <w:szCs w:val="18"/>
          <w:lang w:val="en-US" w:eastAsia="zh-CN"/>
        </w:rPr>
        <w:t>3326</w:t>
      </w:r>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98FEE54"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9A0CF4" w:rsidRPr="009A0CF4">
        <w:rPr>
          <w:sz w:val="20"/>
          <w:lang w:val="en-US"/>
        </w:rPr>
        <w:t>On processing time reduction and related procedures</w:t>
      </w:r>
    </w:p>
    <w:p w14:paraId="0AF57746" w14:textId="71B6B101"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2A99">
        <w:rPr>
          <w:sz w:val="20"/>
          <w:lang w:val="en-US"/>
        </w:rPr>
        <w:t>7.3.</w:t>
      </w:r>
      <w:r w:rsidR="009A0CF4">
        <w:rPr>
          <w:sz w:val="20"/>
          <w:lang w:val="en-US"/>
        </w:rPr>
        <w:t>10</w:t>
      </w:r>
      <w:r w:rsidR="00142A99">
        <w:rPr>
          <w:sz w:val="20"/>
          <w:lang w:val="en-US"/>
        </w:rPr>
        <w:t>.</w:t>
      </w:r>
      <w:r w:rsidR="008957AE">
        <w:rPr>
          <w:sz w:val="20"/>
          <w:lang w:val="en-US"/>
        </w:rPr>
        <w:t>3</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1A9CF01F" w14:textId="77777777" w:rsidR="00D05C48" w:rsidRDefault="00D05C48" w:rsidP="00D00AE7">
      <w:pPr>
        <w:pStyle w:val="TdocHeader2"/>
        <w:rPr>
          <w:sz w:val="20"/>
          <w:lang w:val="en-US"/>
        </w:rPr>
      </w:pPr>
    </w:p>
    <w:p w14:paraId="4742AEE8" w14:textId="77777777" w:rsidR="00D05C48" w:rsidRPr="0027658D" w:rsidRDefault="00D05C48" w:rsidP="00D00AE7">
      <w:pPr>
        <w:pStyle w:val="TdocHeader2"/>
        <w:rPr>
          <w:sz w:val="20"/>
          <w:lang w:val="en-US"/>
        </w:rPr>
      </w:pPr>
    </w:p>
    <w:p w14:paraId="1736798D" w14:textId="4FC4CA75" w:rsidR="0016496E" w:rsidRDefault="0016496E" w:rsidP="00C10EBD">
      <w:pPr>
        <w:pStyle w:val="Heading1"/>
        <w:numPr>
          <w:ilvl w:val="0"/>
          <w:numId w:val="11"/>
        </w:numPr>
        <w:textAlignment w:val="auto"/>
        <w:rPr>
          <w:lang w:val="en-US"/>
        </w:rPr>
      </w:pPr>
      <w:bookmarkStart w:id="3" w:name="_Ref298777854"/>
      <w:bookmarkEnd w:id="0"/>
      <w:bookmarkEnd w:id="1"/>
      <w:r>
        <w:rPr>
          <w:lang w:val="en-US"/>
        </w:rPr>
        <w:t>Introduction</w:t>
      </w:r>
      <w:bookmarkEnd w:id="3"/>
    </w:p>
    <w:p w14:paraId="1FE1D9E3" w14:textId="12DA04C7" w:rsidR="0016496E" w:rsidRPr="001D2430" w:rsidRDefault="002507DF" w:rsidP="0016496E">
      <w:r>
        <w:rPr>
          <w:lang w:val="en-US"/>
        </w:rPr>
        <w:t xml:space="preserve">When the TTI length is shortened it </w:t>
      </w:r>
      <w:r w:rsidR="001D2430">
        <w:rPr>
          <w:lang w:val="en-US"/>
        </w:rPr>
        <w:t xml:space="preserve">is important to also reduce delays associated with the legacy TTI, i.e. the subframe duration. </w:t>
      </w:r>
      <w:r w:rsidR="001D2430">
        <w:t xml:space="preserve">In previous papers on DL </w:t>
      </w:r>
      <w:r w:rsidR="001D2430">
        <w:fldChar w:fldCharType="begin"/>
      </w:r>
      <w:r w:rsidR="001D2430">
        <w:instrText xml:space="preserve"> REF _Ref447115298 \r \h </w:instrText>
      </w:r>
      <w:r w:rsidR="001D2430">
        <w:fldChar w:fldCharType="separate"/>
      </w:r>
      <w:r w:rsidR="001D2430">
        <w:t>[2]</w:t>
      </w:r>
      <w:r w:rsidR="001D2430">
        <w:fldChar w:fldCharType="end"/>
      </w:r>
      <w:r w:rsidR="001D2430">
        <w:t xml:space="preserve"> and UL </w:t>
      </w:r>
      <w:r w:rsidR="001D2430">
        <w:fldChar w:fldCharType="begin"/>
      </w:r>
      <w:r w:rsidR="001D2430">
        <w:instrText xml:space="preserve"> REF _Ref447115307 \r \h </w:instrText>
      </w:r>
      <w:r w:rsidR="001D2430">
        <w:fldChar w:fldCharType="separate"/>
      </w:r>
      <w:r w:rsidR="001D2430">
        <w:t>[3]</w:t>
      </w:r>
      <w:r w:rsidR="001D2430">
        <w:fldChar w:fldCharType="end"/>
      </w:r>
      <w:r w:rsidR="001D2430">
        <w:t xml:space="preserve"> processing time reduction, the impact of the different fixed delays were discussed. </w:t>
      </w:r>
      <w:r w:rsidR="001D2430">
        <w:rPr>
          <w:lang w:val="en-US"/>
        </w:rPr>
        <w:t>Here we continue by discussing the signaling and timing of uplink transmissions and impact on HARQ.</w:t>
      </w:r>
    </w:p>
    <w:p w14:paraId="36708DC4" w14:textId="77777777" w:rsidR="0016496E" w:rsidRDefault="0016496E" w:rsidP="00C10EBD">
      <w:pPr>
        <w:pStyle w:val="Heading1"/>
        <w:numPr>
          <w:ilvl w:val="0"/>
          <w:numId w:val="11"/>
        </w:numPr>
        <w:textAlignment w:val="auto"/>
      </w:pPr>
      <w:r>
        <w:t>Discussion</w:t>
      </w:r>
    </w:p>
    <w:p w14:paraId="4C0852E6" w14:textId="0439FC54" w:rsidR="00483551" w:rsidRDefault="00483551" w:rsidP="002636F9">
      <w:pPr>
        <w:pStyle w:val="Heading2"/>
      </w:pPr>
      <w:r>
        <w:t>Processing time</w:t>
      </w:r>
    </w:p>
    <w:p w14:paraId="5DC55AD4" w14:textId="1C69D6AD" w:rsidR="00483551" w:rsidRPr="00483551" w:rsidRDefault="00483551" w:rsidP="00483551">
      <w:r>
        <w:t xml:space="preserve">As discussed in earlier papers </w:t>
      </w:r>
      <w:r>
        <w:fldChar w:fldCharType="begin"/>
      </w:r>
      <w:r>
        <w:instrText xml:space="preserve"> REF _Ref447115298 \r \h </w:instrText>
      </w:r>
      <w:r>
        <w:fldChar w:fldCharType="separate"/>
      </w:r>
      <w:r>
        <w:t>[2]</w:t>
      </w:r>
      <w:r>
        <w:fldChar w:fldCharType="end"/>
      </w:r>
      <w:r>
        <w:t xml:space="preserve"> and </w:t>
      </w:r>
      <w:r>
        <w:fldChar w:fldCharType="begin"/>
      </w:r>
      <w:r>
        <w:instrText xml:space="preserve"> REF _Ref447115307 \r \h </w:instrText>
      </w:r>
      <w:r>
        <w:fldChar w:fldCharType="separate"/>
      </w:r>
      <w:r>
        <w:t>[3]</w:t>
      </w:r>
      <w:r>
        <w:fldChar w:fldCharType="end"/>
      </w:r>
      <w:r>
        <w:t xml:space="preserve"> the processing time determines the possible timing of UL grants and DL HARQ, which both should be specified for short TTI. Here, information on UE capabilities is necessary to get a more complete picture.</w:t>
      </w:r>
    </w:p>
    <w:p w14:paraId="5733154F" w14:textId="235D60B9" w:rsidR="00483551" w:rsidRPr="003A3AF4" w:rsidRDefault="00483551" w:rsidP="00C10EBD">
      <w:pPr>
        <w:pStyle w:val="Observation"/>
        <w:numPr>
          <w:ilvl w:val="0"/>
          <w:numId w:val="13"/>
        </w:numPr>
        <w:textAlignment w:val="auto"/>
      </w:pPr>
      <w:r>
        <w:rPr>
          <w:rFonts w:eastAsia="Calibri"/>
          <w:lang w:val="en-US" w:eastAsia="en-US"/>
        </w:rPr>
        <w:t>Input from UE side needed on possibilities to reduce processing time.</w:t>
      </w:r>
    </w:p>
    <w:p w14:paraId="4F4128C2" w14:textId="77777777" w:rsidR="0031286D" w:rsidRDefault="0031286D" w:rsidP="0031286D">
      <w:pPr>
        <w:pStyle w:val="Heading3"/>
      </w:pPr>
      <w:r>
        <w:t>Number of HARQ processes</w:t>
      </w:r>
    </w:p>
    <w:p w14:paraId="11C57A17" w14:textId="07BBD8C1" w:rsidR="0031286D" w:rsidRDefault="0031286D" w:rsidP="0031286D">
      <w:r>
        <w:t xml:space="preserve">When the HARQ roundtrip time is extended beyond the current LTE level of 8 TTI, there may be need for additional HARQ processes. As mentioned in a previous paper </w:t>
      </w:r>
      <w:r>
        <w:fldChar w:fldCharType="begin"/>
      </w:r>
      <w:r>
        <w:instrText xml:space="preserve"> REF _Ref447115298 \r \h </w:instrText>
      </w:r>
      <w:r>
        <w:fldChar w:fldCharType="separate"/>
      </w:r>
      <w:r>
        <w:t>[2]</w:t>
      </w:r>
      <w:r>
        <w:fldChar w:fldCharType="end"/>
      </w:r>
      <w:r>
        <w:t>, a reduction in half of the processing time can lead to as many as 22 HARQ processes if 2 symbol TTIs are used. A higher reduction in processing will require fewer processes. For signalling and buffering reasons up to 16 processes would be preferable. The HARQ processes for short TTI can be stored in a separate buffer to avoid collisions with legacy processes.</w:t>
      </w:r>
    </w:p>
    <w:p w14:paraId="5FE96F23" w14:textId="77777777" w:rsidR="0031286D" w:rsidRDefault="0031286D" w:rsidP="0031286D">
      <w:r>
        <w:t xml:space="preserve">The number of HARQ processes required for a certain TTI length and processing time is shown in </w:t>
      </w:r>
      <w:r>
        <w:fldChar w:fldCharType="begin"/>
      </w:r>
      <w:r>
        <w:instrText xml:space="preserve"> REF _Ref447198429 \h </w:instrText>
      </w:r>
      <w:r>
        <w:fldChar w:fldCharType="separate"/>
      </w:r>
      <w:r>
        <w:t xml:space="preserve">Figure </w:t>
      </w:r>
      <w:r>
        <w:rPr>
          <w:noProof/>
        </w:rPr>
        <w:t>1</w:t>
      </w:r>
      <w:r>
        <w:fldChar w:fldCharType="end"/>
      </w:r>
      <w:r>
        <w:t>. As can be seen in the figure, a maximum of 16 HARQ processes requires the processing time to be no more than 1ms, i.e. a third of the legacy value.</w:t>
      </w:r>
    </w:p>
    <w:p w14:paraId="3454CB55" w14:textId="6D45C943" w:rsidR="0031286D" w:rsidRDefault="0031286D" w:rsidP="00C10EBD">
      <w:pPr>
        <w:pStyle w:val="Observation"/>
        <w:numPr>
          <w:ilvl w:val="0"/>
          <w:numId w:val="13"/>
        </w:numPr>
        <w:textAlignment w:val="auto"/>
      </w:pPr>
      <w:r>
        <w:rPr>
          <w:rFonts w:eastAsia="Calibri"/>
          <w:lang w:val="en-US" w:eastAsia="en-US"/>
        </w:rPr>
        <w:t>A higher reduction of processing time leads to fewer required HARQ processes.</w:t>
      </w:r>
    </w:p>
    <w:p w14:paraId="1959870E" w14:textId="77777777" w:rsidR="0031286D" w:rsidRDefault="0031286D" w:rsidP="00C73E63">
      <w:pPr>
        <w:keepNext/>
        <w:jc w:val="center"/>
      </w:pPr>
      <w:r w:rsidRPr="00F354B5">
        <w:rPr>
          <w:noProof/>
          <w:lang w:val="sv-SE" w:eastAsia="sv-SE"/>
        </w:rPr>
        <w:lastRenderedPageBreak/>
        <w:drawing>
          <wp:inline distT="0" distB="0" distL="0" distR="0" wp14:anchorId="733EBA20" wp14:editId="4A64F385">
            <wp:extent cx="4819650" cy="36147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27932" cy="3620950"/>
                    </a:xfrm>
                    <a:prstGeom prst="rect">
                      <a:avLst/>
                    </a:prstGeom>
                  </pic:spPr>
                </pic:pic>
              </a:graphicData>
            </a:graphic>
          </wp:inline>
        </w:drawing>
      </w:r>
    </w:p>
    <w:p w14:paraId="1A9EE8CC" w14:textId="77777777" w:rsidR="0031286D" w:rsidRPr="00011030" w:rsidRDefault="0031286D" w:rsidP="0031286D">
      <w:pPr>
        <w:pStyle w:val="Caption"/>
        <w:jc w:val="both"/>
        <w:rPr>
          <w:b w:val="0"/>
        </w:rPr>
      </w:pPr>
      <w:bookmarkStart w:id="4" w:name="_Ref447198429"/>
      <w:bookmarkStart w:id="5" w:name="_Ref447198407"/>
      <w:proofErr w:type="gramStart"/>
      <w:r w:rsidRPr="00011030">
        <w:rPr>
          <w:b w:val="0"/>
        </w:rPr>
        <w:t xml:space="preserve">Figure </w:t>
      </w:r>
      <w:r w:rsidRPr="00011030">
        <w:rPr>
          <w:b w:val="0"/>
        </w:rPr>
        <w:fldChar w:fldCharType="begin"/>
      </w:r>
      <w:r w:rsidRPr="00011030">
        <w:rPr>
          <w:b w:val="0"/>
        </w:rPr>
        <w:instrText xml:space="preserve"> SEQ Figure \* ARABIC </w:instrText>
      </w:r>
      <w:r w:rsidRPr="00011030">
        <w:rPr>
          <w:b w:val="0"/>
        </w:rPr>
        <w:fldChar w:fldCharType="separate"/>
      </w:r>
      <w:r w:rsidRPr="00011030">
        <w:rPr>
          <w:b w:val="0"/>
          <w:noProof/>
        </w:rPr>
        <w:t>1</w:t>
      </w:r>
      <w:r w:rsidRPr="00011030">
        <w:rPr>
          <w:b w:val="0"/>
        </w:rPr>
        <w:fldChar w:fldCharType="end"/>
      </w:r>
      <w:bookmarkEnd w:id="4"/>
      <w:r w:rsidRPr="00011030">
        <w:rPr>
          <w:b w:val="0"/>
        </w:rPr>
        <w:t>.</w:t>
      </w:r>
      <w:proofErr w:type="gramEnd"/>
      <w:r w:rsidRPr="00011030">
        <w:rPr>
          <w:b w:val="0"/>
        </w:rPr>
        <w:t xml:space="preserve"> For different TTI length the processing time will lead to different number of required HARQ processes.</w:t>
      </w:r>
      <w:bookmarkEnd w:id="5"/>
    </w:p>
    <w:p w14:paraId="21A2CD7E" w14:textId="361DF94A" w:rsidR="0031286D" w:rsidRDefault="0031286D" w:rsidP="0031286D">
      <w:pPr>
        <w:pStyle w:val="Heading3"/>
      </w:pPr>
      <w:r>
        <w:t>Average latency</w:t>
      </w:r>
    </w:p>
    <w:p w14:paraId="7DB2240D" w14:textId="5D91655B" w:rsidR="0031286D" w:rsidRDefault="00D4165C" w:rsidP="0031286D">
      <w:r>
        <w:t>A calculation</w:t>
      </w:r>
      <w:r w:rsidR="0031286D">
        <w:t xml:space="preserve"> of the average RAN latency was done by assuming the same processing time in UE and </w:t>
      </w:r>
      <w:proofErr w:type="spellStart"/>
      <w:r w:rsidR="0031286D">
        <w:t>eNB</w:t>
      </w:r>
      <w:proofErr w:type="spellEnd"/>
      <w:r w:rsidR="0031286D">
        <w:t xml:space="preserve"> before and after a transmission</w:t>
      </w:r>
      <w:r w:rsidR="00B67E5E">
        <w:t xml:space="preserve">, following the </w:t>
      </w:r>
      <w:r w:rsidR="002B13A9">
        <w:t>methods</w:t>
      </w:r>
      <w:r w:rsidR="00B67E5E">
        <w:t xml:space="preserve"> in </w:t>
      </w:r>
      <w:r w:rsidR="00B67E5E">
        <w:fldChar w:fldCharType="begin"/>
      </w:r>
      <w:r w:rsidR="00B67E5E">
        <w:instrText xml:space="preserve"> REF _Ref447115298 \r \h </w:instrText>
      </w:r>
      <w:r w:rsidR="00B67E5E">
        <w:fldChar w:fldCharType="separate"/>
      </w:r>
      <w:r w:rsidR="00B67E5E">
        <w:t>[2]</w:t>
      </w:r>
      <w:r w:rsidR="00B67E5E">
        <w:fldChar w:fldCharType="end"/>
      </w:r>
      <w:r w:rsidR="00B67E5E">
        <w:t xml:space="preserve"> and </w:t>
      </w:r>
      <w:r w:rsidR="00B67E5E">
        <w:fldChar w:fldCharType="begin"/>
      </w:r>
      <w:r w:rsidR="00B67E5E">
        <w:instrText xml:space="preserve"> REF _Ref447115307 \r \h </w:instrText>
      </w:r>
      <w:r w:rsidR="00B67E5E">
        <w:fldChar w:fldCharType="separate"/>
      </w:r>
      <w:r w:rsidR="00B67E5E">
        <w:t>[3]</w:t>
      </w:r>
      <w:r w:rsidR="00B67E5E">
        <w:fldChar w:fldCharType="end"/>
      </w:r>
      <w:r w:rsidR="00B67E5E">
        <w:t xml:space="preserve">, see </w:t>
      </w:r>
      <w:r w:rsidR="00B67E5E">
        <w:fldChar w:fldCharType="begin"/>
      </w:r>
      <w:r w:rsidR="00B67E5E">
        <w:instrText xml:space="preserve"> REF _Ref447221654 \h </w:instrText>
      </w:r>
      <w:r w:rsidR="00B67E5E">
        <w:fldChar w:fldCharType="separate"/>
      </w:r>
      <w:r w:rsidR="00B67E5E">
        <w:t xml:space="preserve">Figure </w:t>
      </w:r>
      <w:r w:rsidR="00B67E5E">
        <w:rPr>
          <w:noProof/>
        </w:rPr>
        <w:t>2</w:t>
      </w:r>
      <w:r w:rsidR="00B67E5E">
        <w:fldChar w:fldCharType="end"/>
      </w:r>
      <w:r w:rsidR="00B67E5E">
        <w:t xml:space="preserve">. </w:t>
      </w:r>
      <w:r>
        <w:t xml:space="preserve">No queueing effects are included. </w:t>
      </w:r>
      <w:r w:rsidR="00B67E5E">
        <w:t>The same processing time was also assumed for UL grants, DL and UL HARQ, and SR. The UL latency was calculated for SR-based access and a HARQ retransmission rate of 10% was included in the results.</w:t>
      </w:r>
      <w:r w:rsidR="00A971B3">
        <w:t xml:space="preserve"> As can be seen in the figure, reducing the processing time from the current level of 3ms can lead to significantly lower latency. For instance, targeting 1ms DL latency with a 2 symbol TTI length, requires a reduction of processing time to below 0.5ms, a reduction by a factor of 6 from current level.</w:t>
      </w:r>
    </w:p>
    <w:p w14:paraId="5248481B" w14:textId="3B03C56A" w:rsidR="00A971B3" w:rsidRPr="003A3AF4" w:rsidRDefault="00A971B3" w:rsidP="00C10EBD">
      <w:pPr>
        <w:pStyle w:val="Observation"/>
        <w:numPr>
          <w:ilvl w:val="0"/>
          <w:numId w:val="13"/>
        </w:numPr>
        <w:textAlignment w:val="auto"/>
      </w:pPr>
      <w:r>
        <w:rPr>
          <w:rFonts w:eastAsia="Calibri"/>
          <w:lang w:val="en-US" w:eastAsia="en-US"/>
        </w:rPr>
        <w:t>A high reduction of latency requires a high reduction of processing time.</w:t>
      </w:r>
    </w:p>
    <w:p w14:paraId="1F77CEE1" w14:textId="77777777" w:rsidR="00A971B3" w:rsidRDefault="00A971B3" w:rsidP="0031286D"/>
    <w:p w14:paraId="612EC6AD" w14:textId="77777777" w:rsidR="00B67E5E" w:rsidRDefault="00B67E5E" w:rsidP="00C73E63">
      <w:pPr>
        <w:keepNext/>
        <w:jc w:val="center"/>
      </w:pPr>
      <w:r w:rsidRPr="00D673F9">
        <w:rPr>
          <w:noProof/>
          <w:lang w:val="sv-SE" w:eastAsia="sv-SE"/>
        </w:rPr>
        <w:lastRenderedPageBreak/>
        <w:drawing>
          <wp:inline distT="0" distB="0" distL="0" distR="0" wp14:anchorId="4AC4C762" wp14:editId="0805677A">
            <wp:extent cx="4492413" cy="3369310"/>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04125" cy="3378094"/>
                    </a:xfrm>
                    <a:prstGeom prst="rect">
                      <a:avLst/>
                    </a:prstGeom>
                  </pic:spPr>
                </pic:pic>
              </a:graphicData>
            </a:graphic>
          </wp:inline>
        </w:drawing>
      </w:r>
    </w:p>
    <w:p w14:paraId="5A88BCED" w14:textId="77777777" w:rsidR="00B67E5E" w:rsidRPr="00011030" w:rsidRDefault="00B67E5E" w:rsidP="00B67E5E">
      <w:pPr>
        <w:pStyle w:val="Caption"/>
        <w:jc w:val="both"/>
        <w:rPr>
          <w:b w:val="0"/>
        </w:rPr>
      </w:pPr>
      <w:bookmarkStart w:id="6" w:name="_Ref447221654"/>
      <w:proofErr w:type="gramStart"/>
      <w:r w:rsidRPr="00011030">
        <w:rPr>
          <w:b w:val="0"/>
        </w:rPr>
        <w:t xml:space="preserve">Figure </w:t>
      </w:r>
      <w:r w:rsidRPr="00011030">
        <w:rPr>
          <w:b w:val="0"/>
        </w:rPr>
        <w:fldChar w:fldCharType="begin"/>
      </w:r>
      <w:r w:rsidRPr="00011030">
        <w:rPr>
          <w:b w:val="0"/>
        </w:rPr>
        <w:instrText xml:space="preserve"> SEQ Figure \* ARABIC </w:instrText>
      </w:r>
      <w:r w:rsidRPr="00011030">
        <w:rPr>
          <w:b w:val="0"/>
        </w:rPr>
        <w:fldChar w:fldCharType="separate"/>
      </w:r>
      <w:r w:rsidRPr="00011030">
        <w:rPr>
          <w:b w:val="0"/>
          <w:noProof/>
        </w:rPr>
        <w:t>2</w:t>
      </w:r>
      <w:r w:rsidRPr="00011030">
        <w:rPr>
          <w:b w:val="0"/>
        </w:rPr>
        <w:fldChar w:fldCharType="end"/>
      </w:r>
      <w:bookmarkEnd w:id="6"/>
      <w:r w:rsidRPr="00011030">
        <w:rPr>
          <w:b w:val="0"/>
        </w:rPr>
        <w:t>.</w:t>
      </w:r>
      <w:proofErr w:type="gramEnd"/>
      <w:r w:rsidRPr="00011030">
        <w:rPr>
          <w:b w:val="0"/>
        </w:rPr>
        <w:t xml:space="preserve"> </w:t>
      </w:r>
      <w:proofErr w:type="gramStart"/>
      <w:r w:rsidRPr="00011030">
        <w:rPr>
          <w:b w:val="0"/>
        </w:rPr>
        <w:t>Latency as a function of processing time for different TTI lengths, including 10% HARQ retransmissions.</w:t>
      </w:r>
      <w:proofErr w:type="gramEnd"/>
      <w:r w:rsidRPr="00011030">
        <w:rPr>
          <w:b w:val="0"/>
        </w:rPr>
        <w:t xml:space="preserve"> The current processing time is at 3ms.</w:t>
      </w:r>
    </w:p>
    <w:p w14:paraId="2865BFBA" w14:textId="0225689B" w:rsidR="00D4165C" w:rsidRDefault="00D4165C" w:rsidP="00D4165C">
      <w:r>
        <w:t xml:space="preserve">The processing time has an impact on the experienced throughput, as shown in system simulation </w:t>
      </w:r>
      <w:r>
        <w:fldChar w:fldCharType="begin"/>
      </w:r>
      <w:r>
        <w:instrText xml:space="preserve"> REF _Ref447289225 \r \h </w:instrText>
      </w:r>
      <w:r>
        <w:fldChar w:fldCharType="separate"/>
      </w:r>
      <w:r>
        <w:t>[4]</w:t>
      </w:r>
      <w:r>
        <w:fldChar w:fldCharType="end"/>
      </w:r>
      <w:r w:rsidR="00E25BD9">
        <w:t>. In these results we see that good gains can be achieved also with slightly longer processing times and higher number of HARQ processes. The best gains are achieved for scaled processing times, i.e. when the processing is reduced with the same factor as the TTI length. This should therefore be the target of processing time reduction.</w:t>
      </w:r>
    </w:p>
    <w:p w14:paraId="31AAD7CC" w14:textId="6FCD6965" w:rsidR="00E25BD9" w:rsidRPr="00D4165C" w:rsidRDefault="00E25BD9" w:rsidP="00C10EBD">
      <w:pPr>
        <w:pStyle w:val="Proposal"/>
        <w:numPr>
          <w:ilvl w:val="0"/>
          <w:numId w:val="12"/>
        </w:numPr>
        <w:textAlignment w:val="auto"/>
      </w:pPr>
      <w:r>
        <w:t>Aim to reduce the processing time with the same factor as the TTI length is reduced.</w:t>
      </w:r>
    </w:p>
    <w:p w14:paraId="4B3AE314" w14:textId="3514E85D" w:rsidR="002636F9" w:rsidRDefault="002636F9" w:rsidP="002636F9">
      <w:pPr>
        <w:pStyle w:val="Heading2"/>
      </w:pPr>
      <w:r>
        <w:t>UL grant timing</w:t>
      </w:r>
    </w:p>
    <w:p w14:paraId="0BFB87E7" w14:textId="367067EE" w:rsidR="002636F9" w:rsidRDefault="002636F9" w:rsidP="002636F9">
      <w:pPr>
        <w:pStyle w:val="BodyText"/>
      </w:pPr>
      <w:r>
        <w:t>The timing between PUCCH with DCI format 0 or 4 to PUSCH is 4 sub-frames according section 8.0 in 3GPP TS 36.213. With the introduction of shorter TTIs for PUSCH, this delay from UL grant to UL transmissions should be reduced below 4 sub-frames</w:t>
      </w:r>
      <w:r w:rsidR="00E25BD9">
        <w:t xml:space="preserve"> </w:t>
      </w:r>
      <w:r w:rsidR="00E25BD9">
        <w:fldChar w:fldCharType="begin"/>
      </w:r>
      <w:r w:rsidR="00E25BD9">
        <w:instrText xml:space="preserve"> REF _Ref441739574 \r \h </w:instrText>
      </w:r>
      <w:r w:rsidR="00E25BD9">
        <w:fldChar w:fldCharType="separate"/>
      </w:r>
      <w:r w:rsidR="00E25BD9">
        <w:t>[1]</w:t>
      </w:r>
      <w:r w:rsidR="00E25BD9">
        <w:fldChar w:fldCharType="end"/>
      </w:r>
      <w:r>
        <w:t>. Here, the delay can be divided into two components:</w:t>
      </w:r>
    </w:p>
    <w:p w14:paraId="4B996E00" w14:textId="77777777" w:rsidR="002636F9" w:rsidRDefault="002636F9" w:rsidP="00C10EBD">
      <w:pPr>
        <w:pStyle w:val="BodyText"/>
        <w:numPr>
          <w:ilvl w:val="0"/>
          <w:numId w:val="14"/>
        </w:numPr>
        <w:textAlignment w:val="auto"/>
      </w:pPr>
      <w:r>
        <w:t>Receiving DL control channel with grant i.e. channel estimation, demodulation, channel decoding, CRC check and extracting DCI bits for UL grant</w:t>
      </w:r>
    </w:p>
    <w:p w14:paraId="581DE1F8" w14:textId="77777777" w:rsidR="002636F9" w:rsidRDefault="002636F9" w:rsidP="00C10EBD">
      <w:pPr>
        <w:pStyle w:val="BodyText"/>
        <w:numPr>
          <w:ilvl w:val="0"/>
          <w:numId w:val="14"/>
        </w:numPr>
        <w:textAlignment w:val="auto"/>
      </w:pPr>
      <w:r>
        <w:t>Preparing and transmitting PUSCH with reduced TTI i.e. turbo encoding, modulation, SC-FDMA symbol generation, adding CP and transmitting</w:t>
      </w:r>
    </w:p>
    <w:p w14:paraId="0D72DD7C" w14:textId="42E11C11" w:rsidR="002636F9" w:rsidRDefault="002636F9" w:rsidP="002636F9">
      <w:pPr>
        <w:pStyle w:val="BodyText"/>
      </w:pPr>
      <w:r>
        <w:t xml:space="preserve">Here, receiving and decoding the UL grant requires a processing time which is independent of the length of the TTI for PUSCH with fixed number of DCI bits, size of search space, convolution coding etc. A proposal for construction of DL control channel for these UL DCI is given in </w:t>
      </w:r>
      <w:r w:rsidR="00E25BD9">
        <w:fldChar w:fldCharType="begin"/>
      </w:r>
      <w:r w:rsidR="00E25BD9">
        <w:instrText xml:space="preserve"> REF _Ref447289665 \r \h </w:instrText>
      </w:r>
      <w:r w:rsidR="00E25BD9">
        <w:fldChar w:fldCharType="separate"/>
      </w:r>
      <w:r w:rsidR="00E25BD9">
        <w:t>[2]</w:t>
      </w:r>
      <w:r w:rsidR="00E25BD9">
        <w:fldChar w:fldCharType="end"/>
      </w:r>
      <w:r w:rsidR="00E25BD9">
        <w:t>.</w:t>
      </w:r>
    </w:p>
    <w:p w14:paraId="0AA7913A" w14:textId="686DC311" w:rsidR="002636F9" w:rsidRDefault="002636F9" w:rsidP="002636F9">
      <w:pPr>
        <w:pStyle w:val="BodyText"/>
      </w:pPr>
      <w:r>
        <w:t>Preparation and transmitting of PUSCH should scale almost linearly with the length of the TTI</w:t>
      </w:r>
      <w:r w:rsidR="00E25BD9">
        <w:t xml:space="preserve"> </w:t>
      </w:r>
      <w:r w:rsidR="00E25BD9">
        <w:fldChar w:fldCharType="begin"/>
      </w:r>
      <w:r w:rsidR="00E25BD9">
        <w:instrText xml:space="preserve"> REF _Ref441739574 \r \h </w:instrText>
      </w:r>
      <w:r w:rsidR="00E25BD9">
        <w:fldChar w:fldCharType="separate"/>
      </w:r>
      <w:r w:rsidR="00E25BD9">
        <w:t>[1]</w:t>
      </w:r>
      <w:r w:rsidR="00E25BD9">
        <w:fldChar w:fldCharType="end"/>
      </w:r>
      <w:r>
        <w:t>, except some minor fixed processing cost. For example, the size of the transport block should scale with the length of the TTI such that the processing time of channel coding scales linearly with the length of the TTI.</w:t>
      </w:r>
    </w:p>
    <w:p w14:paraId="597B13DE" w14:textId="79EC1FFD" w:rsidR="002636F9" w:rsidRDefault="002636F9" w:rsidP="002636F9">
      <w:pPr>
        <w:pStyle w:val="BodyText"/>
      </w:pPr>
      <w:r>
        <w:t xml:space="preserve">For short TTIs, the decoding of the UL grant might dominate the total processing time while the preparation of PUSCH transmission will dominate for longer TTIs. The total length between UL grant and PUSCH transmissions should thus depend on the length of the TTI. This processing time should be specified in a table such that the UE knowns when to transmit PUSCH with reduced TTI based upon the UL grant. As discussed in </w:t>
      </w:r>
      <w:r w:rsidR="00E25BD9">
        <w:fldChar w:fldCharType="begin"/>
      </w:r>
      <w:r w:rsidR="00E25BD9">
        <w:instrText xml:space="preserve"> REF _Ref447289782 \r \h </w:instrText>
      </w:r>
      <w:r w:rsidR="00E25BD9">
        <w:fldChar w:fldCharType="separate"/>
      </w:r>
      <w:r w:rsidR="00E25BD9">
        <w:t>[3]</w:t>
      </w:r>
      <w:r w:rsidR="00E25BD9">
        <w:fldChar w:fldCharType="end"/>
      </w:r>
      <w:r w:rsidR="00E25BD9">
        <w:t xml:space="preserve"> </w:t>
      </w:r>
      <w:r>
        <w:t>an additional delay may be included in the fast DCI.</w:t>
      </w:r>
    </w:p>
    <w:p w14:paraId="3ACBF9D5" w14:textId="77777777" w:rsidR="002507DF" w:rsidRDefault="002507DF" w:rsidP="002507DF">
      <w:pPr>
        <w:rPr>
          <w:rFonts w:eastAsia="Calibri"/>
          <w:lang w:val="en-US" w:eastAsia="en-US"/>
        </w:rPr>
      </w:pPr>
      <w:r>
        <w:rPr>
          <w:rFonts w:eastAsia="Calibri"/>
          <w:lang w:val="en-US" w:eastAsia="en-US"/>
        </w:rPr>
        <w:t xml:space="preserve">TA depends on the distance between UE and </w:t>
      </w:r>
      <w:proofErr w:type="spellStart"/>
      <w:r>
        <w:rPr>
          <w:rFonts w:eastAsia="Calibri"/>
          <w:lang w:val="en-US" w:eastAsia="en-US"/>
        </w:rPr>
        <w:t>eNB</w:t>
      </w:r>
      <w:proofErr w:type="spellEnd"/>
      <w:r>
        <w:rPr>
          <w:rFonts w:eastAsia="Calibri"/>
          <w:lang w:val="en-US" w:eastAsia="en-US"/>
        </w:rPr>
        <w:t xml:space="preserve">. In addition, TA may be used by the </w:t>
      </w:r>
      <w:proofErr w:type="spellStart"/>
      <w:r>
        <w:rPr>
          <w:rFonts w:eastAsia="Calibri"/>
          <w:lang w:val="en-US" w:eastAsia="en-US"/>
        </w:rPr>
        <w:t>eNB</w:t>
      </w:r>
      <w:proofErr w:type="spellEnd"/>
      <w:r>
        <w:rPr>
          <w:rFonts w:eastAsia="Calibri"/>
          <w:lang w:val="en-US" w:eastAsia="en-US"/>
        </w:rPr>
        <w:t xml:space="preserve"> to handle CPRI delay. The remaining part of the delay is spent on processing in the UE or </w:t>
      </w:r>
      <w:proofErr w:type="spellStart"/>
      <w:r>
        <w:rPr>
          <w:rFonts w:eastAsia="Calibri"/>
          <w:lang w:val="en-US" w:eastAsia="en-US"/>
        </w:rPr>
        <w:t>eNB</w:t>
      </w:r>
      <w:proofErr w:type="spellEnd"/>
      <w:r>
        <w:rPr>
          <w:rFonts w:eastAsia="Calibri"/>
          <w:lang w:val="en-US" w:eastAsia="en-US"/>
        </w:rPr>
        <w:t xml:space="preserve">. During part of this time the UE or </w:t>
      </w:r>
      <w:proofErr w:type="spellStart"/>
      <w:r>
        <w:rPr>
          <w:rFonts w:eastAsia="Calibri"/>
          <w:lang w:val="en-US" w:eastAsia="en-US"/>
        </w:rPr>
        <w:t>eNB</w:t>
      </w:r>
      <w:proofErr w:type="spellEnd"/>
      <w:r>
        <w:rPr>
          <w:rFonts w:eastAsia="Calibri"/>
          <w:lang w:val="en-US" w:eastAsia="en-US"/>
        </w:rPr>
        <w:t xml:space="preserve"> may also be idle, since the response times are fixed in current LTE.</w:t>
      </w:r>
    </w:p>
    <w:p w14:paraId="18D67B64" w14:textId="3D299FB3" w:rsidR="002507DF" w:rsidRPr="003A3AF4" w:rsidRDefault="002507DF" w:rsidP="00C10EBD">
      <w:pPr>
        <w:pStyle w:val="Observation"/>
        <w:numPr>
          <w:ilvl w:val="0"/>
          <w:numId w:val="13"/>
        </w:numPr>
        <w:textAlignment w:val="auto"/>
      </w:pPr>
      <w:r w:rsidRPr="003A3AF4">
        <w:rPr>
          <w:rFonts w:eastAsia="Calibri"/>
          <w:lang w:val="en-US" w:eastAsia="en-US"/>
        </w:rPr>
        <w:lastRenderedPageBreak/>
        <w:t>To reduce the delay</w:t>
      </w:r>
      <w:r>
        <w:t xml:space="preserve"> </w:t>
      </w:r>
      <w:r w:rsidRPr="003A3AF4">
        <w:rPr>
          <w:rFonts w:eastAsia="Calibri"/>
          <w:lang w:val="en-US" w:eastAsia="en-US"/>
        </w:rPr>
        <w:t>between UL grant reception and UL data transmission, both the processing time at the UE and the timing advance should be reduced.</w:t>
      </w:r>
    </w:p>
    <w:p w14:paraId="5BC43B20" w14:textId="2942DB54" w:rsidR="00BA1B89" w:rsidRPr="003A3AF4" w:rsidRDefault="002507DF" w:rsidP="00C10EBD">
      <w:pPr>
        <w:pStyle w:val="Observation"/>
        <w:numPr>
          <w:ilvl w:val="0"/>
          <w:numId w:val="13"/>
        </w:numPr>
        <w:textAlignment w:val="auto"/>
      </w:pPr>
      <w:r w:rsidRPr="003A3AF4">
        <w:rPr>
          <w:rFonts w:eastAsia="Calibri"/>
          <w:lang w:val="en-US" w:eastAsia="en-US"/>
        </w:rPr>
        <w:t>There may be restrictions to reduction in TA.</w:t>
      </w:r>
    </w:p>
    <w:p w14:paraId="06A7E617" w14:textId="77777777" w:rsidR="002507DF" w:rsidRPr="002507DF" w:rsidRDefault="002507DF" w:rsidP="002636F9">
      <w:pPr>
        <w:pStyle w:val="BodyText"/>
        <w:rPr>
          <w:lang w:val="en-US"/>
        </w:rPr>
      </w:pPr>
    </w:p>
    <w:p w14:paraId="21648269" w14:textId="50BD8B82" w:rsidR="002636F9" w:rsidRDefault="002636F9" w:rsidP="00C10EBD">
      <w:pPr>
        <w:pStyle w:val="Proposal"/>
        <w:numPr>
          <w:ilvl w:val="0"/>
          <w:numId w:val="12"/>
        </w:numPr>
        <w:textAlignment w:val="auto"/>
      </w:pPr>
      <w:bookmarkStart w:id="7" w:name="_Toc442442122"/>
      <w:bookmarkStart w:id="8" w:name="_Toc442441818"/>
      <w:bookmarkStart w:id="9" w:name="_Toc442441683"/>
      <w:bookmarkStart w:id="10" w:name="_Toc442441621"/>
      <w:bookmarkStart w:id="11" w:name="_Toc442367702"/>
      <w:bookmarkStart w:id="12" w:name="_Toc442367686"/>
      <w:bookmarkStart w:id="13" w:name="_Toc442183358"/>
      <w:bookmarkStart w:id="14" w:name="_Toc442180742"/>
      <w:bookmarkStart w:id="15" w:name="_Toc441745486"/>
      <w:bookmarkStart w:id="16" w:name="_Toc441745294"/>
      <w:bookmarkStart w:id="17" w:name="_Toc441576545"/>
      <w:bookmarkStart w:id="18" w:name="_Toc441576443"/>
      <w:bookmarkStart w:id="19" w:name="_Toc441576276"/>
      <w:bookmarkStart w:id="20" w:name="_Toc441564654"/>
      <w:r>
        <w:t>Specify a fixed delay between UL grant and PUSCH with reduced TTI, for each supported length of the TTI.</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EBA99F" w14:textId="77777777" w:rsidR="002636F9" w:rsidRDefault="002636F9" w:rsidP="002636F9">
      <w:pPr>
        <w:pStyle w:val="BodyText"/>
      </w:pPr>
    </w:p>
    <w:p w14:paraId="16D70A70" w14:textId="77777777" w:rsidR="002636F9" w:rsidRDefault="002636F9" w:rsidP="002636F9">
      <w:pPr>
        <w:pStyle w:val="BodyText"/>
      </w:pPr>
      <w:r>
        <w:t xml:space="preserve">The required exact processing time will result in a specification of this delay between UL grant and </w:t>
      </w:r>
      <w:proofErr w:type="spellStart"/>
      <w:r>
        <w:t>sPUSCH</w:t>
      </w:r>
      <w:proofErr w:type="spellEnd"/>
      <w:r>
        <w:t xml:space="preserve"> transmission. An example of such specification is given in </w:t>
      </w:r>
      <w:r>
        <w:fldChar w:fldCharType="begin"/>
      </w:r>
      <w:r>
        <w:instrText xml:space="preserve"> REF _Ref441559615 \h </w:instrText>
      </w:r>
      <w:r>
        <w:fldChar w:fldCharType="separate"/>
      </w:r>
      <w:r>
        <w:t xml:space="preserve">Table </w:t>
      </w:r>
      <w:r>
        <w:rPr>
          <w:noProof/>
        </w:rPr>
        <w:t>1</w:t>
      </w:r>
      <w:r>
        <w:fldChar w:fldCharType="end"/>
      </w:r>
      <w:r>
        <w:t xml:space="preserve">, where the fixed delays for shortened TTIs are FFS. </w:t>
      </w:r>
    </w:p>
    <w:p w14:paraId="52B81DB6" w14:textId="77777777" w:rsidR="002636F9" w:rsidRDefault="002636F9" w:rsidP="002636F9">
      <w:pPr>
        <w:pStyle w:val="Caption"/>
      </w:pPr>
      <w:bookmarkStart w:id="21" w:name="_Ref441559615"/>
      <w:r>
        <w:t xml:space="preserve">Table </w:t>
      </w:r>
      <w:r>
        <w:fldChar w:fldCharType="begin"/>
      </w:r>
      <w:r>
        <w:instrText xml:space="preserve"> SEQ Table \* ARABIC </w:instrText>
      </w:r>
      <w:r>
        <w:fldChar w:fldCharType="separate"/>
      </w:r>
      <w:r>
        <w:rPr>
          <w:noProof/>
        </w:rPr>
        <w:t>1</w:t>
      </w:r>
      <w:r>
        <w:fldChar w:fldCharType="end"/>
      </w:r>
      <w:bookmarkEnd w:id="21"/>
      <w:r>
        <w:t>. Example of specification of delay between UL grant and PUSCH transmissions with short TTI.</w:t>
      </w:r>
    </w:p>
    <w:tbl>
      <w:tblPr>
        <w:tblStyle w:val="TableGrid"/>
        <w:tblW w:w="0" w:type="auto"/>
        <w:tblInd w:w="2943" w:type="dxa"/>
        <w:tblLook w:val="04A0" w:firstRow="1" w:lastRow="0" w:firstColumn="1" w:lastColumn="0" w:noHBand="0" w:noVBand="1"/>
      </w:tblPr>
      <w:tblGrid>
        <w:gridCol w:w="1984"/>
        <w:gridCol w:w="2127"/>
      </w:tblGrid>
      <w:tr w:rsidR="002636F9" w14:paraId="0C2AC148"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7C58C3B4" w14:textId="77777777" w:rsidR="002636F9" w:rsidRDefault="002636F9">
            <w:pPr>
              <w:pStyle w:val="BodyText"/>
              <w:rPr>
                <w:b/>
              </w:rPr>
            </w:pPr>
            <w:r>
              <w:rPr>
                <w:b/>
              </w:rPr>
              <w:t xml:space="preserve">TTI length </w:t>
            </w:r>
            <w:r>
              <w:rPr>
                <w:b/>
              </w:rPr>
              <w:br/>
              <w:t>[SC-FDMA symbols]</w:t>
            </w:r>
          </w:p>
        </w:tc>
        <w:tc>
          <w:tcPr>
            <w:tcW w:w="2127" w:type="dxa"/>
            <w:tcBorders>
              <w:top w:val="single" w:sz="4" w:space="0" w:color="auto"/>
              <w:left w:val="single" w:sz="4" w:space="0" w:color="auto"/>
              <w:bottom w:val="single" w:sz="4" w:space="0" w:color="auto"/>
              <w:right w:val="single" w:sz="4" w:space="0" w:color="auto"/>
            </w:tcBorders>
            <w:hideMark/>
          </w:tcPr>
          <w:p w14:paraId="7458C281" w14:textId="77777777" w:rsidR="002636F9" w:rsidRDefault="002636F9">
            <w:pPr>
              <w:pStyle w:val="BodyText"/>
              <w:rPr>
                <w:b/>
              </w:rPr>
            </w:pPr>
            <w:r>
              <w:rPr>
                <w:b/>
              </w:rPr>
              <w:t xml:space="preserve">Fix </w:t>
            </w:r>
            <w:r>
              <w:rPr>
                <w:b/>
              </w:rPr>
              <w:br/>
              <w:t>delay between</w:t>
            </w:r>
            <w:r>
              <w:rPr>
                <w:b/>
              </w:rPr>
              <w:br/>
              <w:t xml:space="preserve">first symbol of UL grant </w:t>
            </w:r>
            <w:r>
              <w:rPr>
                <w:b/>
              </w:rPr>
              <w:br/>
              <w:t xml:space="preserve">and first symbol of (s)PUSCH </w:t>
            </w:r>
            <w:r>
              <w:rPr>
                <w:b/>
              </w:rPr>
              <w:br/>
            </w:r>
          </w:p>
        </w:tc>
      </w:tr>
      <w:tr w:rsidR="002636F9" w14:paraId="0B385384"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5F45A8B8" w14:textId="77777777" w:rsidR="002636F9" w:rsidRDefault="002636F9">
            <w:pPr>
              <w:pStyle w:val="BodyText"/>
            </w:pPr>
            <w:r>
              <w:t>2</w:t>
            </w:r>
          </w:p>
        </w:tc>
        <w:tc>
          <w:tcPr>
            <w:tcW w:w="2127" w:type="dxa"/>
            <w:tcBorders>
              <w:top w:val="single" w:sz="4" w:space="0" w:color="auto"/>
              <w:left w:val="single" w:sz="4" w:space="0" w:color="auto"/>
              <w:bottom w:val="single" w:sz="4" w:space="0" w:color="auto"/>
              <w:right w:val="single" w:sz="4" w:space="0" w:color="auto"/>
            </w:tcBorders>
            <w:hideMark/>
          </w:tcPr>
          <w:p w14:paraId="0E667237" w14:textId="77777777" w:rsidR="002636F9" w:rsidRDefault="002636F9">
            <w:pPr>
              <w:pStyle w:val="BodyText"/>
              <w:rPr>
                <w:i/>
              </w:rPr>
            </w:pPr>
            <w:r>
              <w:rPr>
                <w:i/>
              </w:rPr>
              <w:t>FFS</w:t>
            </w:r>
          </w:p>
        </w:tc>
      </w:tr>
      <w:tr w:rsidR="002636F9" w14:paraId="15903765"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0AE8B6E3" w14:textId="77777777" w:rsidR="002636F9" w:rsidRDefault="002636F9">
            <w:pPr>
              <w:pStyle w:val="BodyText"/>
            </w:pPr>
            <w:r>
              <w:t>3</w:t>
            </w:r>
          </w:p>
        </w:tc>
        <w:tc>
          <w:tcPr>
            <w:tcW w:w="2127" w:type="dxa"/>
            <w:tcBorders>
              <w:top w:val="single" w:sz="4" w:space="0" w:color="auto"/>
              <w:left w:val="single" w:sz="4" w:space="0" w:color="auto"/>
              <w:bottom w:val="single" w:sz="4" w:space="0" w:color="auto"/>
              <w:right w:val="single" w:sz="4" w:space="0" w:color="auto"/>
            </w:tcBorders>
            <w:hideMark/>
          </w:tcPr>
          <w:p w14:paraId="1CBCE454" w14:textId="77777777" w:rsidR="002636F9" w:rsidRDefault="002636F9">
            <w:pPr>
              <w:pStyle w:val="BodyText"/>
              <w:rPr>
                <w:i/>
              </w:rPr>
            </w:pPr>
            <w:r>
              <w:rPr>
                <w:i/>
              </w:rPr>
              <w:t>FFS</w:t>
            </w:r>
          </w:p>
        </w:tc>
      </w:tr>
      <w:tr w:rsidR="002636F9" w14:paraId="57D4764C"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58A9DF1A" w14:textId="77777777" w:rsidR="002636F9" w:rsidRDefault="002636F9">
            <w:pPr>
              <w:pStyle w:val="BodyText"/>
            </w:pPr>
            <w:r>
              <w:t>4</w:t>
            </w:r>
          </w:p>
        </w:tc>
        <w:tc>
          <w:tcPr>
            <w:tcW w:w="2127" w:type="dxa"/>
            <w:tcBorders>
              <w:top w:val="single" w:sz="4" w:space="0" w:color="auto"/>
              <w:left w:val="single" w:sz="4" w:space="0" w:color="auto"/>
              <w:bottom w:val="single" w:sz="4" w:space="0" w:color="auto"/>
              <w:right w:val="single" w:sz="4" w:space="0" w:color="auto"/>
            </w:tcBorders>
            <w:hideMark/>
          </w:tcPr>
          <w:p w14:paraId="07E0D83E" w14:textId="77777777" w:rsidR="002636F9" w:rsidRDefault="002636F9">
            <w:pPr>
              <w:pStyle w:val="BodyText"/>
              <w:rPr>
                <w:i/>
              </w:rPr>
            </w:pPr>
            <w:r>
              <w:rPr>
                <w:i/>
              </w:rPr>
              <w:t>FFS</w:t>
            </w:r>
          </w:p>
        </w:tc>
      </w:tr>
      <w:tr w:rsidR="002636F9" w14:paraId="58B4CA69"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0CCB2F28" w14:textId="77777777" w:rsidR="002636F9" w:rsidRDefault="002636F9">
            <w:pPr>
              <w:pStyle w:val="BodyText"/>
            </w:pPr>
            <w:r>
              <w:t>7</w:t>
            </w:r>
          </w:p>
        </w:tc>
        <w:tc>
          <w:tcPr>
            <w:tcW w:w="2127" w:type="dxa"/>
            <w:tcBorders>
              <w:top w:val="single" w:sz="4" w:space="0" w:color="auto"/>
              <w:left w:val="single" w:sz="4" w:space="0" w:color="auto"/>
              <w:bottom w:val="single" w:sz="4" w:space="0" w:color="auto"/>
              <w:right w:val="single" w:sz="4" w:space="0" w:color="auto"/>
            </w:tcBorders>
            <w:hideMark/>
          </w:tcPr>
          <w:p w14:paraId="69DCDA6F" w14:textId="77777777" w:rsidR="002636F9" w:rsidRDefault="002636F9">
            <w:pPr>
              <w:pStyle w:val="BodyText"/>
              <w:rPr>
                <w:i/>
              </w:rPr>
            </w:pPr>
            <w:r>
              <w:rPr>
                <w:i/>
              </w:rPr>
              <w:t>FFS</w:t>
            </w:r>
          </w:p>
        </w:tc>
      </w:tr>
      <w:tr w:rsidR="002636F9" w14:paraId="19C58EDE" w14:textId="77777777" w:rsidTr="002636F9">
        <w:tc>
          <w:tcPr>
            <w:tcW w:w="1984" w:type="dxa"/>
            <w:tcBorders>
              <w:top w:val="single" w:sz="4" w:space="0" w:color="auto"/>
              <w:left w:val="single" w:sz="4" w:space="0" w:color="auto"/>
              <w:bottom w:val="single" w:sz="4" w:space="0" w:color="auto"/>
              <w:right w:val="single" w:sz="4" w:space="0" w:color="auto"/>
            </w:tcBorders>
            <w:hideMark/>
          </w:tcPr>
          <w:p w14:paraId="2AC6022D" w14:textId="77777777" w:rsidR="002636F9" w:rsidRDefault="002636F9">
            <w:pPr>
              <w:pStyle w:val="BodyText"/>
            </w:pPr>
            <w:r>
              <w:t xml:space="preserve">14 (1 </w:t>
            </w:r>
            <w:proofErr w:type="spellStart"/>
            <w:r>
              <w:t>ms</w:t>
            </w:r>
            <w:proofErr w:type="spellEnd"/>
            <w:r>
              <w:t>)</w:t>
            </w:r>
          </w:p>
        </w:tc>
        <w:tc>
          <w:tcPr>
            <w:tcW w:w="2127" w:type="dxa"/>
            <w:tcBorders>
              <w:top w:val="single" w:sz="4" w:space="0" w:color="auto"/>
              <w:left w:val="single" w:sz="4" w:space="0" w:color="auto"/>
              <w:bottom w:val="single" w:sz="4" w:space="0" w:color="auto"/>
              <w:right w:val="single" w:sz="4" w:space="0" w:color="auto"/>
            </w:tcBorders>
            <w:hideMark/>
          </w:tcPr>
          <w:p w14:paraId="094E3EA2" w14:textId="77777777" w:rsidR="002636F9" w:rsidRDefault="002636F9">
            <w:pPr>
              <w:pStyle w:val="BodyText"/>
            </w:pPr>
            <w:r>
              <w:t xml:space="preserve">4 </w:t>
            </w:r>
            <w:proofErr w:type="spellStart"/>
            <w:r>
              <w:t>ms</w:t>
            </w:r>
            <w:proofErr w:type="spellEnd"/>
          </w:p>
        </w:tc>
      </w:tr>
    </w:tbl>
    <w:p w14:paraId="17A7BDDC" w14:textId="77777777" w:rsidR="002636F9" w:rsidRPr="002636F9" w:rsidRDefault="002636F9" w:rsidP="002636F9"/>
    <w:p w14:paraId="16C9F677" w14:textId="77777777" w:rsidR="00BA1B89" w:rsidRDefault="00BA1B89" w:rsidP="00BA1B89">
      <w:pPr>
        <w:pStyle w:val="Heading2"/>
      </w:pPr>
      <w:r>
        <w:t>DL HARQ timing</w:t>
      </w:r>
    </w:p>
    <w:p w14:paraId="5D00E32F" w14:textId="77777777" w:rsidR="00BA1B89" w:rsidRDefault="00BA1B89" w:rsidP="00BA1B89">
      <w:r>
        <w:t xml:space="preserve">Before being able to transmit the HARQ feedback for DL transmission, the UE has first to detect the DL grant and process the DL data transmission. The introduced delay, also includes headroom for timing advance (TA). In current LTE, the delay is specified to 3TTI, since the transmission of HARQ feedback will take 1TTI. But to ensure time-alignment with </w:t>
      </w:r>
      <w:proofErr w:type="spellStart"/>
      <w:r>
        <w:t>eNB</w:t>
      </w:r>
      <w:proofErr w:type="spellEnd"/>
      <w:r>
        <w:t>, the UE must be able to receive the DL grant and the DL data in less than 3ms. To reduce this delay, both the processing time in the UE and the headroom for TA have to be reduced. Shorter values for these delays should be included in specifications.</w:t>
      </w:r>
    </w:p>
    <w:p w14:paraId="06186582" w14:textId="77777777" w:rsidR="00BA1B89" w:rsidRDefault="00BA1B89" w:rsidP="00BA1B89">
      <w:pPr>
        <w:rPr>
          <w:rFonts w:eastAsia="Calibri"/>
          <w:lang w:val="en-US" w:eastAsia="en-US"/>
        </w:rPr>
      </w:pPr>
      <w:r>
        <w:rPr>
          <w:rFonts w:eastAsia="Calibri"/>
          <w:lang w:val="en-US" w:eastAsia="en-US"/>
        </w:rPr>
        <w:t xml:space="preserve">TA depends on the distance between UE and </w:t>
      </w:r>
      <w:proofErr w:type="spellStart"/>
      <w:r>
        <w:rPr>
          <w:rFonts w:eastAsia="Calibri"/>
          <w:lang w:val="en-US" w:eastAsia="en-US"/>
        </w:rPr>
        <w:t>eNB</w:t>
      </w:r>
      <w:proofErr w:type="spellEnd"/>
      <w:r>
        <w:rPr>
          <w:rFonts w:eastAsia="Calibri"/>
          <w:lang w:val="en-US" w:eastAsia="en-US"/>
        </w:rPr>
        <w:t xml:space="preserve">. In addition, TA may be used by the </w:t>
      </w:r>
      <w:proofErr w:type="spellStart"/>
      <w:r>
        <w:rPr>
          <w:rFonts w:eastAsia="Calibri"/>
          <w:lang w:val="en-US" w:eastAsia="en-US"/>
        </w:rPr>
        <w:t>eNB</w:t>
      </w:r>
      <w:proofErr w:type="spellEnd"/>
      <w:r>
        <w:rPr>
          <w:rFonts w:eastAsia="Calibri"/>
          <w:lang w:val="en-US" w:eastAsia="en-US"/>
        </w:rPr>
        <w:t xml:space="preserve"> to handle CPRI delay. The remaining part of the delay is spent on processing in the UE or </w:t>
      </w:r>
      <w:proofErr w:type="spellStart"/>
      <w:r>
        <w:rPr>
          <w:rFonts w:eastAsia="Calibri"/>
          <w:lang w:val="en-US" w:eastAsia="en-US"/>
        </w:rPr>
        <w:t>eNB</w:t>
      </w:r>
      <w:proofErr w:type="spellEnd"/>
      <w:r>
        <w:rPr>
          <w:rFonts w:eastAsia="Calibri"/>
          <w:lang w:val="en-US" w:eastAsia="en-US"/>
        </w:rPr>
        <w:t xml:space="preserve">. During part of this time the UE or </w:t>
      </w:r>
      <w:proofErr w:type="spellStart"/>
      <w:r>
        <w:rPr>
          <w:rFonts w:eastAsia="Calibri"/>
          <w:lang w:val="en-US" w:eastAsia="en-US"/>
        </w:rPr>
        <w:t>eNB</w:t>
      </w:r>
      <w:proofErr w:type="spellEnd"/>
      <w:r>
        <w:rPr>
          <w:rFonts w:eastAsia="Calibri"/>
          <w:lang w:val="en-US" w:eastAsia="en-US"/>
        </w:rPr>
        <w:t xml:space="preserve"> may also be idle, since the response times are fixed in current LTE.</w:t>
      </w:r>
    </w:p>
    <w:p w14:paraId="639B6B9A" w14:textId="4AD3C55A" w:rsidR="00BA1B89" w:rsidRPr="003A3AF4" w:rsidRDefault="00BA1B89" w:rsidP="00C10EBD">
      <w:pPr>
        <w:pStyle w:val="Observation"/>
        <w:numPr>
          <w:ilvl w:val="0"/>
          <w:numId w:val="13"/>
        </w:numPr>
        <w:textAlignment w:val="auto"/>
      </w:pPr>
      <w:r w:rsidRPr="003A3AF4">
        <w:rPr>
          <w:rFonts w:eastAsia="Calibri"/>
          <w:lang w:val="en-US" w:eastAsia="en-US"/>
        </w:rPr>
        <w:t>To reduce the delay</w:t>
      </w:r>
      <w:r>
        <w:t xml:space="preserve"> </w:t>
      </w:r>
      <w:r w:rsidRPr="003A3AF4">
        <w:rPr>
          <w:rFonts w:eastAsia="Calibri"/>
          <w:lang w:val="en-US" w:eastAsia="en-US"/>
        </w:rPr>
        <w:t>between DL data reception and DL HARQ feedback, both the processing time at the UE and the timing advance should be reduced.</w:t>
      </w:r>
    </w:p>
    <w:p w14:paraId="5C7BF133" w14:textId="56FE46F6" w:rsidR="00BA1B89" w:rsidRPr="003A3AF4" w:rsidRDefault="00BA1B89" w:rsidP="00C10EBD">
      <w:pPr>
        <w:pStyle w:val="Observation"/>
        <w:numPr>
          <w:ilvl w:val="0"/>
          <w:numId w:val="13"/>
        </w:numPr>
        <w:textAlignment w:val="auto"/>
      </w:pPr>
      <w:r w:rsidRPr="003A3AF4">
        <w:rPr>
          <w:rFonts w:eastAsia="Calibri"/>
          <w:lang w:val="en-US" w:eastAsia="en-US"/>
        </w:rPr>
        <w:t>There may be restrictions to reduction in TA.</w:t>
      </w:r>
    </w:p>
    <w:p w14:paraId="19E10DD7" w14:textId="77777777" w:rsidR="00BA1B89" w:rsidRDefault="00BA1B89" w:rsidP="00BA1B89">
      <w:pPr>
        <w:rPr>
          <w:rFonts w:eastAsia="Calibri"/>
          <w:b/>
          <w:lang w:val="en-US" w:eastAsia="en-US"/>
        </w:rPr>
      </w:pPr>
    </w:p>
    <w:p w14:paraId="69DCC28D" w14:textId="6B8CAB54" w:rsidR="00BA1B89" w:rsidRPr="003A3AF4" w:rsidRDefault="00BA1B89" w:rsidP="00C10EBD">
      <w:pPr>
        <w:pStyle w:val="Proposal"/>
        <w:numPr>
          <w:ilvl w:val="0"/>
          <w:numId w:val="12"/>
        </w:numPr>
        <w:textAlignment w:val="auto"/>
      </w:pPr>
      <w:r w:rsidRPr="003A3AF4">
        <w:rPr>
          <w:rFonts w:eastAsia="Calibri"/>
          <w:lang w:val="en-US" w:eastAsia="en-US"/>
        </w:rPr>
        <w:t>Shorter values should be specified for the DL data reception to DL HARQ delay when shortened TTI is applied.</w:t>
      </w:r>
    </w:p>
    <w:p w14:paraId="6699010B" w14:textId="77777777" w:rsidR="00BA1B89" w:rsidRDefault="00BA1B89" w:rsidP="00BA1B89">
      <w:pPr>
        <w:pStyle w:val="Heading2"/>
        <w:numPr>
          <w:ilvl w:val="0"/>
          <w:numId w:val="0"/>
        </w:numPr>
      </w:pPr>
    </w:p>
    <w:p w14:paraId="2D26659C" w14:textId="2350CE53" w:rsidR="002636F9" w:rsidRDefault="002636F9" w:rsidP="002636F9">
      <w:pPr>
        <w:pStyle w:val="Heading2"/>
      </w:pPr>
      <w:r>
        <w:t>Asynchronous UL HARQ</w:t>
      </w:r>
    </w:p>
    <w:p w14:paraId="3F04351C" w14:textId="77777777" w:rsidR="002636F9" w:rsidRDefault="002636F9" w:rsidP="002636F9">
      <w:r>
        <w:t xml:space="preserve">The timing of HARQ feedback in relation to a received Transport Block (TB) on PUSCH depends on the required time for processing of PUSCH and preparation of retransmission grants. Here the processing time depends on the number of SC-FDMA symbols used for PUSCH and the Transport Block Size (TBS). In </w:t>
      </w:r>
      <w:r>
        <w:lastRenderedPageBreak/>
        <w:t>contrast to this, the preparation of the UL grants do not depend on the length of the TTI of PUSCH but rather on the number of scheduled UEs.</w:t>
      </w:r>
    </w:p>
    <w:p w14:paraId="1F764778" w14:textId="77777777" w:rsidR="002636F9" w:rsidRDefault="002636F9" w:rsidP="002636F9">
      <w:r>
        <w:t xml:space="preserve">UL HARQ operation is based on synchronous HARQ in current LTE. This implies that the retransmission time is fixed. Even if the HARQ RTT could be set to different values for different TTI lengths, this might be too restrictive for the </w:t>
      </w:r>
      <w:proofErr w:type="spellStart"/>
      <w:r>
        <w:t>eNodeB</w:t>
      </w:r>
      <w:proofErr w:type="spellEnd"/>
      <w:r>
        <w:t xml:space="preserve"> operation.</w:t>
      </w:r>
    </w:p>
    <w:p w14:paraId="17A08756" w14:textId="1C79A463" w:rsidR="002636F9" w:rsidRDefault="002636F9" w:rsidP="002636F9">
      <w:r>
        <w:t xml:space="preserve">Even with synchronous operation, HARQ feedback in downlink for the UL TB may not necessarily be done in the same order as the TBs are received in the </w:t>
      </w:r>
      <w:proofErr w:type="spellStart"/>
      <w:r>
        <w:t>eNodeB</w:t>
      </w:r>
      <w:proofErr w:type="spellEnd"/>
      <w:r>
        <w:t>, since the retransmission time may depend on the length of the TTI and TBs can have different lengths of the TTIs</w:t>
      </w:r>
      <w:r w:rsidR="00F61D1D">
        <w:t xml:space="preserve"> </w:t>
      </w:r>
      <w:r w:rsidR="00F61D1D">
        <w:fldChar w:fldCharType="begin"/>
      </w:r>
      <w:r w:rsidR="00F61D1D">
        <w:instrText xml:space="preserve"> REF _Ref441739574 \r \h </w:instrText>
      </w:r>
      <w:r w:rsidR="00F61D1D">
        <w:fldChar w:fldCharType="separate"/>
      </w:r>
      <w:r w:rsidR="00F61D1D">
        <w:t>[1]</w:t>
      </w:r>
      <w:r w:rsidR="00F61D1D">
        <w:fldChar w:fldCharType="end"/>
      </w:r>
      <w:r>
        <w:t>. For some cases, two ACK/NACKs might need to be transmitted simultaneously in downlink. Thus synchronous operation can be challenging with shortened TTIs.</w:t>
      </w:r>
    </w:p>
    <w:p w14:paraId="04749F53" w14:textId="77777777" w:rsidR="002636F9" w:rsidRDefault="002636F9" w:rsidP="002636F9">
      <w:r>
        <w:t xml:space="preserve">When the UE is operating with shortened TTI we therefore propose that asynchronous HARQ operation is applied. The HARQ principles identified in the LAA SI can be the basis for the design, with adjustment done for the needed number of HARQ processes. This number is determined from the estimated UE and </w:t>
      </w:r>
      <w:proofErr w:type="spellStart"/>
      <w:r>
        <w:t>eNodeB</w:t>
      </w:r>
      <w:proofErr w:type="spellEnd"/>
      <w:r>
        <w:t xml:space="preserve"> processing times. For simplicity, the same number of HARQ processes could be assumed for different TTI lengths, with the number chosen from the most stringent case. </w:t>
      </w:r>
    </w:p>
    <w:p w14:paraId="0910E5A8" w14:textId="77777777" w:rsidR="002636F9" w:rsidRDefault="002636F9" w:rsidP="002636F9">
      <w:r>
        <w:t xml:space="preserve">A short HARQ RTT would give the lowest average latency, and can be achieved through short processing times in the </w:t>
      </w:r>
      <w:proofErr w:type="spellStart"/>
      <w:r>
        <w:t>eNodeB</w:t>
      </w:r>
      <w:proofErr w:type="spellEnd"/>
      <w:r>
        <w:t xml:space="preserve">. If the </w:t>
      </w:r>
      <w:proofErr w:type="spellStart"/>
      <w:r>
        <w:t>eNodeB</w:t>
      </w:r>
      <w:proofErr w:type="spellEnd"/>
      <w:r>
        <w:t xml:space="preserve"> can choose HARQ delay in a flexible way it can use the shortest time when possible. Retransmissions are then scheduled in any UL </w:t>
      </w:r>
      <w:proofErr w:type="spellStart"/>
      <w:r>
        <w:t>sTTI</w:t>
      </w:r>
      <w:proofErr w:type="spellEnd"/>
      <w:r>
        <w:t xml:space="preserve"> by indicating the HARQ process ID (PID) in the UL DCI, similarly as for DL DCI in current LTE. Assuming the current number of HARQ processes is kept (8), this HARQ PID field would require 3 bits in the UL </w:t>
      </w:r>
      <w:proofErr w:type="spellStart"/>
      <w:r>
        <w:t>sDCI</w:t>
      </w:r>
      <w:proofErr w:type="spellEnd"/>
      <w:r>
        <w:t>.</w:t>
      </w:r>
    </w:p>
    <w:p w14:paraId="168F059F" w14:textId="7C2B1A19" w:rsidR="00F61D1D" w:rsidRDefault="00F61D1D" w:rsidP="00C10EBD">
      <w:pPr>
        <w:pStyle w:val="Proposal"/>
        <w:numPr>
          <w:ilvl w:val="0"/>
          <w:numId w:val="12"/>
        </w:numPr>
        <w:textAlignment w:val="auto"/>
      </w:pPr>
      <w:r>
        <w:rPr>
          <w:rFonts w:eastAsia="Calibri"/>
          <w:lang w:val="en-US" w:eastAsia="en-US"/>
        </w:rPr>
        <w:t>Support asynchronous UL HARQ for short TTI transmissions.</w:t>
      </w:r>
    </w:p>
    <w:p w14:paraId="6F66B689" w14:textId="77777777" w:rsidR="0016496E" w:rsidRDefault="0016496E" w:rsidP="00C10EBD">
      <w:pPr>
        <w:pStyle w:val="Heading1"/>
        <w:numPr>
          <w:ilvl w:val="0"/>
          <w:numId w:val="11"/>
        </w:numPr>
        <w:textAlignment w:val="auto"/>
        <w:rPr>
          <w:lang w:val="en-US"/>
        </w:rPr>
      </w:pPr>
      <w:r>
        <w:rPr>
          <w:lang w:val="en-US"/>
        </w:rPr>
        <w:t>Summary</w:t>
      </w:r>
    </w:p>
    <w:p w14:paraId="52759783" w14:textId="32EC7015" w:rsidR="0016496E" w:rsidRDefault="0016496E" w:rsidP="0016496E">
      <w:pPr>
        <w:rPr>
          <w:noProof/>
        </w:rPr>
      </w:pPr>
      <w:r>
        <w:rPr>
          <w:noProof/>
        </w:rPr>
        <w:t>In t</w:t>
      </w:r>
      <w:r w:rsidR="00F61D1D">
        <w:rPr>
          <w:noProof/>
        </w:rPr>
        <w:t>his contribution we discussed timing and processing details for short TTI transmissions, and observed the following:</w:t>
      </w:r>
    </w:p>
    <w:p w14:paraId="4DBF749C" w14:textId="77777777" w:rsidR="00F61D1D" w:rsidRPr="003A3AF4" w:rsidRDefault="00F61D1D" w:rsidP="00C10EBD">
      <w:pPr>
        <w:pStyle w:val="Observation"/>
        <w:numPr>
          <w:ilvl w:val="0"/>
          <w:numId w:val="15"/>
        </w:numPr>
        <w:textAlignment w:val="auto"/>
      </w:pPr>
      <w:r w:rsidRPr="00F61D1D">
        <w:rPr>
          <w:rFonts w:eastAsia="Calibri"/>
          <w:lang w:val="en-US" w:eastAsia="en-US"/>
        </w:rPr>
        <w:t>Input from UE side needed on possibilities to reduce processing time.</w:t>
      </w:r>
    </w:p>
    <w:p w14:paraId="488F4124" w14:textId="77777777" w:rsidR="00F61D1D" w:rsidRDefault="00F61D1D" w:rsidP="00C10EBD">
      <w:pPr>
        <w:pStyle w:val="Observation"/>
        <w:numPr>
          <w:ilvl w:val="0"/>
          <w:numId w:val="13"/>
        </w:numPr>
        <w:textAlignment w:val="auto"/>
      </w:pPr>
      <w:r>
        <w:rPr>
          <w:rFonts w:eastAsia="Calibri"/>
          <w:lang w:val="en-US" w:eastAsia="en-US"/>
        </w:rPr>
        <w:t>A higher reduction of processing time leads to fewer required HARQ processes.</w:t>
      </w:r>
    </w:p>
    <w:p w14:paraId="6189CBE2" w14:textId="77777777" w:rsidR="00F61D1D" w:rsidRPr="003A3AF4" w:rsidRDefault="00F61D1D" w:rsidP="00C10EBD">
      <w:pPr>
        <w:pStyle w:val="Observation"/>
        <w:numPr>
          <w:ilvl w:val="0"/>
          <w:numId w:val="13"/>
        </w:numPr>
        <w:textAlignment w:val="auto"/>
      </w:pPr>
      <w:r>
        <w:rPr>
          <w:rFonts w:eastAsia="Calibri"/>
          <w:lang w:val="en-US" w:eastAsia="en-US"/>
        </w:rPr>
        <w:t>A high reduction of latency requires a high reduction of processing time.</w:t>
      </w:r>
    </w:p>
    <w:p w14:paraId="6B39322E" w14:textId="77777777" w:rsidR="00F61D1D" w:rsidRPr="003A3AF4" w:rsidRDefault="00F61D1D" w:rsidP="00C10EBD">
      <w:pPr>
        <w:pStyle w:val="Observation"/>
        <w:numPr>
          <w:ilvl w:val="0"/>
          <w:numId w:val="13"/>
        </w:numPr>
        <w:textAlignment w:val="auto"/>
      </w:pPr>
      <w:r w:rsidRPr="003A3AF4">
        <w:rPr>
          <w:rFonts w:eastAsia="Calibri"/>
          <w:lang w:val="en-US" w:eastAsia="en-US"/>
        </w:rPr>
        <w:t>To reduce the delay</w:t>
      </w:r>
      <w:r>
        <w:t xml:space="preserve"> </w:t>
      </w:r>
      <w:r w:rsidRPr="003A3AF4">
        <w:rPr>
          <w:rFonts w:eastAsia="Calibri"/>
          <w:lang w:val="en-US" w:eastAsia="en-US"/>
        </w:rPr>
        <w:t>between UL grant reception and UL data transmission, both the processing time at the UE and the timing advance should be reduced.</w:t>
      </w:r>
    </w:p>
    <w:p w14:paraId="0C471177" w14:textId="77777777" w:rsidR="00F61D1D" w:rsidRPr="003A3AF4" w:rsidRDefault="00F61D1D" w:rsidP="00C10EBD">
      <w:pPr>
        <w:pStyle w:val="Observation"/>
        <w:numPr>
          <w:ilvl w:val="0"/>
          <w:numId w:val="13"/>
        </w:numPr>
        <w:textAlignment w:val="auto"/>
      </w:pPr>
      <w:r w:rsidRPr="003A3AF4">
        <w:rPr>
          <w:rFonts w:eastAsia="Calibri"/>
          <w:lang w:val="en-US" w:eastAsia="en-US"/>
        </w:rPr>
        <w:t>There may be restrictions to reduction in TA.</w:t>
      </w:r>
    </w:p>
    <w:p w14:paraId="387E66F5" w14:textId="77777777" w:rsidR="00F61D1D" w:rsidRPr="003A3AF4" w:rsidRDefault="00F61D1D" w:rsidP="00C10EBD">
      <w:pPr>
        <w:pStyle w:val="Observation"/>
        <w:numPr>
          <w:ilvl w:val="0"/>
          <w:numId w:val="13"/>
        </w:numPr>
        <w:textAlignment w:val="auto"/>
      </w:pPr>
      <w:r w:rsidRPr="003A3AF4">
        <w:rPr>
          <w:rFonts w:eastAsia="Calibri"/>
          <w:lang w:val="en-US" w:eastAsia="en-US"/>
        </w:rPr>
        <w:t>To reduce the delay</w:t>
      </w:r>
      <w:r>
        <w:t xml:space="preserve"> </w:t>
      </w:r>
      <w:r w:rsidRPr="003A3AF4">
        <w:rPr>
          <w:rFonts w:eastAsia="Calibri"/>
          <w:lang w:val="en-US" w:eastAsia="en-US"/>
        </w:rPr>
        <w:t>between DL data reception and DL HARQ feedback, both the processing time at the UE and the timing advance should be reduced.</w:t>
      </w:r>
    </w:p>
    <w:p w14:paraId="64408C7C" w14:textId="77777777" w:rsidR="00F61D1D" w:rsidRPr="003A3AF4" w:rsidRDefault="00F61D1D" w:rsidP="00C10EBD">
      <w:pPr>
        <w:pStyle w:val="Observation"/>
        <w:numPr>
          <w:ilvl w:val="0"/>
          <w:numId w:val="13"/>
        </w:numPr>
        <w:textAlignment w:val="auto"/>
      </w:pPr>
      <w:r w:rsidRPr="003A3AF4">
        <w:rPr>
          <w:rFonts w:eastAsia="Calibri"/>
          <w:lang w:val="en-US" w:eastAsia="en-US"/>
        </w:rPr>
        <w:t>There may be restrictions to reduction in TA.</w:t>
      </w:r>
    </w:p>
    <w:p w14:paraId="13A22057" w14:textId="77777777" w:rsidR="00F61D1D" w:rsidRDefault="00F61D1D" w:rsidP="0016496E">
      <w:pPr>
        <w:rPr>
          <w:noProof/>
        </w:rPr>
      </w:pPr>
    </w:p>
    <w:p w14:paraId="3D467D49" w14:textId="6AE59736" w:rsidR="00F61D1D" w:rsidRDefault="00F61D1D" w:rsidP="00F61D1D">
      <w:pPr>
        <w:pStyle w:val="BodyText"/>
      </w:pPr>
      <w:r>
        <w:t>The following proposals were made:</w:t>
      </w:r>
    </w:p>
    <w:p w14:paraId="5FB40DA5" w14:textId="77777777" w:rsidR="00F61D1D" w:rsidRDefault="00F61D1D" w:rsidP="00C10EBD">
      <w:pPr>
        <w:pStyle w:val="Proposal"/>
        <w:numPr>
          <w:ilvl w:val="0"/>
          <w:numId w:val="16"/>
        </w:numPr>
        <w:textAlignment w:val="auto"/>
      </w:pPr>
      <w:r>
        <w:t>Aim to reduce the processing time with the same factor as the TTI length is reduced.</w:t>
      </w:r>
    </w:p>
    <w:p w14:paraId="40D48F63" w14:textId="0C55335A" w:rsidR="00F61D1D" w:rsidRPr="00F61D1D" w:rsidRDefault="00F61D1D" w:rsidP="00C10EBD">
      <w:pPr>
        <w:pStyle w:val="Proposal"/>
        <w:numPr>
          <w:ilvl w:val="0"/>
          <w:numId w:val="12"/>
        </w:numPr>
        <w:textAlignment w:val="auto"/>
      </w:pPr>
      <w:r>
        <w:t>Specify a fixed delay between UL grant and PUSCH with reduced TTI, for each supported length of the TTI.</w:t>
      </w:r>
    </w:p>
    <w:p w14:paraId="358DAF2B" w14:textId="77777777" w:rsidR="00F61D1D" w:rsidRPr="003A3AF4" w:rsidRDefault="00F61D1D" w:rsidP="00C10EBD">
      <w:pPr>
        <w:pStyle w:val="Proposal"/>
        <w:numPr>
          <w:ilvl w:val="0"/>
          <w:numId w:val="12"/>
        </w:numPr>
        <w:textAlignment w:val="auto"/>
      </w:pPr>
      <w:r w:rsidRPr="003A3AF4">
        <w:rPr>
          <w:rFonts w:eastAsia="Calibri"/>
          <w:lang w:val="en-US" w:eastAsia="en-US"/>
        </w:rPr>
        <w:t>Shorter values should be specified for the DL data reception to DL HARQ delay when shortened TTI is applied.</w:t>
      </w:r>
    </w:p>
    <w:p w14:paraId="233D0782" w14:textId="77777777" w:rsidR="00F61D1D" w:rsidRDefault="00F61D1D" w:rsidP="00C10EBD">
      <w:pPr>
        <w:pStyle w:val="Proposal"/>
        <w:numPr>
          <w:ilvl w:val="0"/>
          <w:numId w:val="12"/>
        </w:numPr>
        <w:textAlignment w:val="auto"/>
      </w:pPr>
      <w:r>
        <w:rPr>
          <w:rFonts w:eastAsia="Calibri"/>
          <w:lang w:val="en-US" w:eastAsia="en-US"/>
        </w:rPr>
        <w:t>Support asynchronous UL HARQ for short TTI transmissions.</w:t>
      </w:r>
    </w:p>
    <w:p w14:paraId="27B1D0A8" w14:textId="77777777" w:rsidR="003730EF" w:rsidRDefault="003730EF" w:rsidP="00193A16">
      <w:pPr>
        <w:rPr>
          <w:rFonts w:eastAsia="Calibri"/>
          <w:lang w:val="en-US" w:eastAsia="en-US"/>
        </w:rPr>
      </w:pP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005819D7" w14:textId="77777777" w:rsidR="00BF2E38" w:rsidRDefault="00BF2E38" w:rsidP="00BF2E38">
      <w:pPr>
        <w:pStyle w:val="Reference"/>
        <w:keepNext/>
        <w:keepLines/>
        <w:rPr>
          <w:lang w:val="en-US"/>
        </w:rPr>
      </w:pPr>
      <w:bookmarkStart w:id="22"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22"/>
    </w:p>
    <w:p w14:paraId="243577E5" w14:textId="2434A3DF" w:rsidR="00E25BD9" w:rsidRDefault="00E25BD9" w:rsidP="00594F68">
      <w:pPr>
        <w:pStyle w:val="Reference"/>
        <w:rPr>
          <w:lang w:val="en-US"/>
        </w:rPr>
      </w:pPr>
      <w:bookmarkStart w:id="23" w:name="_Ref447289665"/>
      <w:r>
        <w:rPr>
          <w:rFonts w:cs="Arial"/>
          <w:bCs/>
          <w:noProof/>
          <w:szCs w:val="18"/>
          <w:lang w:val="en-US"/>
        </w:rPr>
        <w:t>R1-16</w:t>
      </w:r>
      <w:r w:rsidR="00594F68">
        <w:rPr>
          <w:rFonts w:cs="Arial"/>
          <w:bCs/>
          <w:noProof/>
          <w:szCs w:val="18"/>
          <w:lang w:val="en-US"/>
        </w:rPr>
        <w:t>3322</w:t>
      </w:r>
      <w:r>
        <w:rPr>
          <w:rFonts w:cs="Arial"/>
          <w:bCs/>
          <w:noProof/>
          <w:szCs w:val="18"/>
          <w:lang w:val="en-US"/>
        </w:rPr>
        <w:t xml:space="preserve">, </w:t>
      </w:r>
      <w:r w:rsidR="00594F68" w:rsidRPr="00594F68">
        <w:rPr>
          <w:rFonts w:cs="Arial"/>
          <w:bCs/>
          <w:noProof/>
          <w:szCs w:val="18"/>
          <w:lang w:val="en-US"/>
        </w:rPr>
        <w:t>Downlink control signaling design for short TTI</w:t>
      </w:r>
      <w:r>
        <w:rPr>
          <w:rFonts w:cs="Arial"/>
          <w:bCs/>
          <w:noProof/>
          <w:szCs w:val="18"/>
          <w:lang w:val="en-US"/>
        </w:rPr>
        <w:t xml:space="preserve">, </w:t>
      </w:r>
      <w:r w:rsidR="00B933DE">
        <w:rPr>
          <w:lang w:val="en-US"/>
        </w:rPr>
        <w:t xml:space="preserve">Ericsson, </w:t>
      </w:r>
      <w:r>
        <w:rPr>
          <w:lang w:val="en-US"/>
        </w:rPr>
        <w:t>RAN1#84bis, April 2016.</w:t>
      </w:r>
      <w:bookmarkEnd w:id="23"/>
    </w:p>
    <w:p w14:paraId="1195FEEA" w14:textId="127F550A" w:rsidR="00E25BD9" w:rsidRPr="00E25BD9" w:rsidRDefault="00E25BD9" w:rsidP="00E25BD9">
      <w:pPr>
        <w:pStyle w:val="Reference"/>
        <w:keepNext/>
        <w:keepLines/>
        <w:rPr>
          <w:lang w:val="en-US"/>
        </w:rPr>
      </w:pPr>
      <w:bookmarkStart w:id="24" w:name="_Ref447289782"/>
      <w:r>
        <w:rPr>
          <w:rFonts w:cs="Arial"/>
          <w:bCs/>
          <w:noProof/>
          <w:szCs w:val="18"/>
          <w:lang w:val="en-US"/>
        </w:rPr>
        <w:lastRenderedPageBreak/>
        <w:t>R1-16</w:t>
      </w:r>
      <w:r w:rsidR="00594F68">
        <w:rPr>
          <w:rFonts w:cs="Arial"/>
          <w:bCs/>
          <w:noProof/>
          <w:szCs w:val="18"/>
          <w:lang w:val="en-US"/>
        </w:rPr>
        <w:t>3323</w:t>
      </w:r>
      <w:r>
        <w:rPr>
          <w:rFonts w:cs="Arial"/>
          <w:bCs/>
          <w:noProof/>
          <w:szCs w:val="18"/>
          <w:lang w:val="en-US"/>
        </w:rPr>
        <w:t xml:space="preserve">, Definition of DCI bitfields for short TTI, </w:t>
      </w:r>
      <w:r w:rsidR="00B933DE">
        <w:rPr>
          <w:lang w:val="en-US"/>
        </w:rPr>
        <w:t xml:space="preserve">Ericsson, </w:t>
      </w:r>
      <w:r>
        <w:rPr>
          <w:lang w:val="en-US"/>
        </w:rPr>
        <w:t>RAN1#84bis, April 2016.</w:t>
      </w:r>
      <w:bookmarkEnd w:id="24"/>
    </w:p>
    <w:p w14:paraId="33BA129A" w14:textId="39EE2EDC" w:rsidR="002507DF" w:rsidRPr="002507DF" w:rsidRDefault="002507DF" w:rsidP="00BF2E38">
      <w:pPr>
        <w:pStyle w:val="Reference"/>
        <w:keepNext/>
        <w:keepLines/>
        <w:rPr>
          <w:lang w:val="en-US"/>
        </w:rPr>
      </w:pPr>
      <w:bookmarkStart w:id="25" w:name="_Ref447115298"/>
      <w:r>
        <w:rPr>
          <w:rFonts w:cs="Arial"/>
          <w:bCs/>
          <w:noProof/>
          <w:szCs w:val="18"/>
          <w:lang w:val="en-US"/>
        </w:rPr>
        <w:t>R1-160930, Processing time reduction in DL</w:t>
      </w:r>
      <w:bookmarkEnd w:id="25"/>
      <w:r w:rsidR="00D4165C">
        <w:rPr>
          <w:rFonts w:cs="Arial"/>
          <w:bCs/>
          <w:noProof/>
          <w:szCs w:val="18"/>
          <w:lang w:val="en-US"/>
        </w:rPr>
        <w:t xml:space="preserve">, </w:t>
      </w:r>
      <w:r w:rsidR="00B933DE">
        <w:rPr>
          <w:lang w:val="en-US"/>
        </w:rPr>
        <w:t xml:space="preserve">Ericsson, </w:t>
      </w:r>
      <w:r w:rsidR="00D4165C">
        <w:rPr>
          <w:lang w:val="en-US"/>
        </w:rPr>
        <w:t>RAN1#84, February 2016.</w:t>
      </w:r>
    </w:p>
    <w:p w14:paraId="2EB43433" w14:textId="018879AE" w:rsidR="002507DF" w:rsidRPr="00D4165C" w:rsidRDefault="002507DF" w:rsidP="00BF2E38">
      <w:pPr>
        <w:pStyle w:val="Reference"/>
        <w:keepNext/>
        <w:keepLines/>
        <w:rPr>
          <w:lang w:val="en-US"/>
        </w:rPr>
      </w:pPr>
      <w:bookmarkStart w:id="26" w:name="_Ref447115307"/>
      <w:r>
        <w:rPr>
          <w:rFonts w:cs="Arial"/>
          <w:bCs/>
          <w:noProof/>
          <w:szCs w:val="18"/>
          <w:lang w:val="en-US"/>
        </w:rPr>
        <w:t>R1-160942, Processing time reduction in UL</w:t>
      </w:r>
      <w:bookmarkEnd w:id="26"/>
      <w:r w:rsidR="00D4165C">
        <w:rPr>
          <w:rFonts w:cs="Arial"/>
          <w:bCs/>
          <w:noProof/>
          <w:szCs w:val="18"/>
          <w:lang w:val="en-US"/>
        </w:rPr>
        <w:t xml:space="preserve">, </w:t>
      </w:r>
      <w:r w:rsidR="00B933DE">
        <w:rPr>
          <w:lang w:val="en-US"/>
        </w:rPr>
        <w:t xml:space="preserve">Ericsson, </w:t>
      </w:r>
      <w:r w:rsidR="00D4165C">
        <w:rPr>
          <w:lang w:val="en-US"/>
        </w:rPr>
        <w:t>RAN1#84, February 2016</w:t>
      </w:r>
    </w:p>
    <w:p w14:paraId="455DCDE5" w14:textId="6BB0ADD3" w:rsidR="00D4165C" w:rsidRDefault="00D4165C" w:rsidP="00BF2E38">
      <w:pPr>
        <w:pStyle w:val="Reference"/>
        <w:keepNext/>
        <w:keepLines/>
        <w:rPr>
          <w:lang w:val="en-US"/>
        </w:rPr>
      </w:pPr>
      <w:bookmarkStart w:id="27" w:name="_Ref447289225"/>
      <w:r>
        <w:rPr>
          <w:rFonts w:cs="Arial"/>
          <w:bCs/>
          <w:noProof/>
          <w:szCs w:val="18"/>
          <w:lang w:val="en-US"/>
        </w:rPr>
        <w:t>R1-16</w:t>
      </w:r>
      <w:r w:rsidR="00273F26">
        <w:rPr>
          <w:rFonts w:cs="Arial"/>
          <w:bCs/>
          <w:noProof/>
          <w:szCs w:val="18"/>
          <w:lang w:val="en-US"/>
        </w:rPr>
        <w:t>3312</w:t>
      </w:r>
      <w:r>
        <w:rPr>
          <w:rFonts w:cs="Arial"/>
          <w:bCs/>
          <w:noProof/>
          <w:szCs w:val="18"/>
          <w:lang w:val="en-US"/>
        </w:rPr>
        <w:t xml:space="preserve">, System level evaluation of short TTI, </w:t>
      </w:r>
      <w:r w:rsidR="00B933DE">
        <w:rPr>
          <w:lang w:val="en-US"/>
        </w:rPr>
        <w:t xml:space="preserve">Ericsson, </w:t>
      </w:r>
      <w:bookmarkStart w:id="28" w:name="_GoBack"/>
      <w:bookmarkEnd w:id="28"/>
      <w:r>
        <w:rPr>
          <w:lang w:val="en-US"/>
        </w:rPr>
        <w:t>RAN1#84bis, April 2016</w:t>
      </w:r>
      <w:bookmarkEnd w:id="27"/>
      <w:r w:rsidR="00524525">
        <w:rPr>
          <w:lang w:val="en-US"/>
        </w:rPr>
        <w:t>.</w:t>
      </w:r>
    </w:p>
    <w:p w14:paraId="72996E4F" w14:textId="77777777" w:rsidR="00AF2D03" w:rsidRDefault="00AF2D03" w:rsidP="00D00AE7">
      <w:pPr>
        <w:rPr>
          <w:lang w:val="en-US"/>
        </w:rPr>
      </w:pPr>
    </w:p>
    <w:p w14:paraId="562434BC" w14:textId="77777777" w:rsidR="000F43F8" w:rsidRDefault="000F43F8">
      <w:pPr>
        <w:rPr>
          <w:rFonts w:eastAsia="Calibri"/>
          <w:lang w:val="en-US"/>
        </w:rPr>
      </w:pPr>
    </w:p>
    <w:sectPr w:rsidR="000F4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A652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51AA1" w14:textId="77777777" w:rsidR="006A1272" w:rsidRDefault="006A1272">
      <w:r>
        <w:separator/>
      </w:r>
    </w:p>
  </w:endnote>
  <w:endnote w:type="continuationSeparator" w:id="0">
    <w:p w14:paraId="0DE67FEC" w14:textId="77777777" w:rsidR="006A1272" w:rsidRDefault="006A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5E53B2" w:rsidRDefault="005E53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33D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33D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5C020" w14:textId="77777777" w:rsidR="006A1272" w:rsidRDefault="006A1272">
      <w:r>
        <w:separator/>
      </w:r>
    </w:p>
  </w:footnote>
  <w:footnote w:type="continuationSeparator" w:id="0">
    <w:p w14:paraId="2506CF0E" w14:textId="77777777" w:rsidR="006A1272" w:rsidRDefault="006A1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5E53B2" w:rsidRDefault="005E53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ADD4A72"/>
    <w:multiLevelType w:val="hybridMultilevel"/>
    <w:tmpl w:val="E960C1F4"/>
    <w:lvl w:ilvl="0" w:tplc="D5829140">
      <w:start w:val="1"/>
      <w:numFmt w:val="decimal"/>
      <w:lvlText w:val="%1."/>
      <w:lvlJc w:val="left"/>
      <w:pPr>
        <w:ind w:left="930" w:hanging="5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6"/>
  </w:num>
  <w:num w:numId="3">
    <w:abstractNumId w:val="4"/>
  </w:num>
  <w:num w:numId="4">
    <w:abstractNumId w:val="1"/>
  </w:num>
  <w:num w:numId="5">
    <w:abstractNumId w:val="5"/>
  </w:num>
  <w:num w:numId="6">
    <w:abstractNumId w:val="9"/>
  </w:num>
  <w:num w:numId="7">
    <w:abstractNumId w:val="2"/>
  </w:num>
  <w:num w:numId="8">
    <w:abstractNumId w:val="7"/>
  </w:num>
  <w:num w:numId="9">
    <w:abstractNumId w:val="8"/>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num>
  <w:num w:numId="16">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030"/>
    <w:rsid w:val="0001115E"/>
    <w:rsid w:val="00011B28"/>
    <w:rsid w:val="00012CA8"/>
    <w:rsid w:val="00013FC9"/>
    <w:rsid w:val="00015D15"/>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1EA1"/>
    <w:rsid w:val="000A36C3"/>
    <w:rsid w:val="000A56F2"/>
    <w:rsid w:val="000B02E5"/>
    <w:rsid w:val="000B2719"/>
    <w:rsid w:val="000B3A8F"/>
    <w:rsid w:val="000B4AB9"/>
    <w:rsid w:val="000B58C3"/>
    <w:rsid w:val="000B61E9"/>
    <w:rsid w:val="000C038F"/>
    <w:rsid w:val="000C039B"/>
    <w:rsid w:val="000C165A"/>
    <w:rsid w:val="000C27C5"/>
    <w:rsid w:val="000C2E19"/>
    <w:rsid w:val="000C3B9C"/>
    <w:rsid w:val="000C7397"/>
    <w:rsid w:val="000D0D07"/>
    <w:rsid w:val="000D2D69"/>
    <w:rsid w:val="000D4797"/>
    <w:rsid w:val="000D6C88"/>
    <w:rsid w:val="000D7D60"/>
    <w:rsid w:val="000E0527"/>
    <w:rsid w:val="000E1E92"/>
    <w:rsid w:val="000F06D6"/>
    <w:rsid w:val="000F0EB1"/>
    <w:rsid w:val="000F1106"/>
    <w:rsid w:val="000F3BE9"/>
    <w:rsid w:val="000F3F6C"/>
    <w:rsid w:val="000F43F8"/>
    <w:rsid w:val="000F6DF3"/>
    <w:rsid w:val="001005FF"/>
    <w:rsid w:val="00100AA6"/>
    <w:rsid w:val="00100F45"/>
    <w:rsid w:val="001062FB"/>
    <w:rsid w:val="001063E6"/>
    <w:rsid w:val="00107A20"/>
    <w:rsid w:val="00110233"/>
    <w:rsid w:val="00113CF4"/>
    <w:rsid w:val="001153EA"/>
    <w:rsid w:val="00115643"/>
    <w:rsid w:val="00115E25"/>
    <w:rsid w:val="001163DE"/>
    <w:rsid w:val="00116765"/>
    <w:rsid w:val="001174B9"/>
    <w:rsid w:val="001219F5"/>
    <w:rsid w:val="00121A20"/>
    <w:rsid w:val="0012377F"/>
    <w:rsid w:val="00124314"/>
    <w:rsid w:val="00125CE0"/>
    <w:rsid w:val="001267BC"/>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496E"/>
    <w:rsid w:val="001659C1"/>
    <w:rsid w:val="0016637B"/>
    <w:rsid w:val="00170C54"/>
    <w:rsid w:val="00173A8E"/>
    <w:rsid w:val="0018143F"/>
    <w:rsid w:val="0018777E"/>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21DF"/>
    <w:rsid w:val="001C3D2A"/>
    <w:rsid w:val="001D2430"/>
    <w:rsid w:val="001D51BA"/>
    <w:rsid w:val="001D61A9"/>
    <w:rsid w:val="001D6342"/>
    <w:rsid w:val="001D6D53"/>
    <w:rsid w:val="001E0114"/>
    <w:rsid w:val="001E09BB"/>
    <w:rsid w:val="001E114A"/>
    <w:rsid w:val="001E1DF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380"/>
    <w:rsid w:val="002224DB"/>
    <w:rsid w:val="002231CD"/>
    <w:rsid w:val="00223FCB"/>
    <w:rsid w:val="002252C3"/>
    <w:rsid w:val="00225C54"/>
    <w:rsid w:val="00225F21"/>
    <w:rsid w:val="00230765"/>
    <w:rsid w:val="002319E4"/>
    <w:rsid w:val="00232211"/>
    <w:rsid w:val="00233F86"/>
    <w:rsid w:val="00235632"/>
    <w:rsid w:val="00235872"/>
    <w:rsid w:val="00236AE2"/>
    <w:rsid w:val="00237465"/>
    <w:rsid w:val="00240E69"/>
    <w:rsid w:val="00241559"/>
    <w:rsid w:val="002435B3"/>
    <w:rsid w:val="002458EB"/>
    <w:rsid w:val="002500C8"/>
    <w:rsid w:val="002507DF"/>
    <w:rsid w:val="00250B2A"/>
    <w:rsid w:val="002554E9"/>
    <w:rsid w:val="00255D91"/>
    <w:rsid w:val="00257543"/>
    <w:rsid w:val="00257C94"/>
    <w:rsid w:val="002617E7"/>
    <w:rsid w:val="00262E21"/>
    <w:rsid w:val="002636F9"/>
    <w:rsid w:val="00263A3F"/>
    <w:rsid w:val="00264228"/>
    <w:rsid w:val="00264334"/>
    <w:rsid w:val="0026473E"/>
    <w:rsid w:val="002649C5"/>
    <w:rsid w:val="00266214"/>
    <w:rsid w:val="00267C83"/>
    <w:rsid w:val="0027144F"/>
    <w:rsid w:val="00271899"/>
    <w:rsid w:val="00271ABB"/>
    <w:rsid w:val="00271F3A"/>
    <w:rsid w:val="002724CD"/>
    <w:rsid w:val="00273278"/>
    <w:rsid w:val="002737F4"/>
    <w:rsid w:val="00273F26"/>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13A9"/>
    <w:rsid w:val="002B24D6"/>
    <w:rsid w:val="002C1219"/>
    <w:rsid w:val="002C41E6"/>
    <w:rsid w:val="002D04B8"/>
    <w:rsid w:val="002D071A"/>
    <w:rsid w:val="002D13DA"/>
    <w:rsid w:val="002D34B2"/>
    <w:rsid w:val="002D3E97"/>
    <w:rsid w:val="002D4825"/>
    <w:rsid w:val="002D5A16"/>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70A1"/>
    <w:rsid w:val="00307BA1"/>
    <w:rsid w:val="00311702"/>
    <w:rsid w:val="00311E82"/>
    <w:rsid w:val="0031286D"/>
    <w:rsid w:val="00313FD6"/>
    <w:rsid w:val="003140FC"/>
    <w:rsid w:val="003143BD"/>
    <w:rsid w:val="003203ED"/>
    <w:rsid w:val="0032131B"/>
    <w:rsid w:val="00321C4F"/>
    <w:rsid w:val="00322C9F"/>
    <w:rsid w:val="0032460C"/>
    <w:rsid w:val="00324D23"/>
    <w:rsid w:val="00325A36"/>
    <w:rsid w:val="003270D1"/>
    <w:rsid w:val="00327FC8"/>
    <w:rsid w:val="00331751"/>
    <w:rsid w:val="00331C1E"/>
    <w:rsid w:val="00334172"/>
    <w:rsid w:val="00334579"/>
    <w:rsid w:val="00335858"/>
    <w:rsid w:val="00336BDA"/>
    <w:rsid w:val="00342681"/>
    <w:rsid w:val="00342BD7"/>
    <w:rsid w:val="0034324A"/>
    <w:rsid w:val="00346DB5"/>
    <w:rsid w:val="00347407"/>
    <w:rsid w:val="003477B1"/>
    <w:rsid w:val="00350057"/>
    <w:rsid w:val="00354011"/>
    <w:rsid w:val="00357380"/>
    <w:rsid w:val="003602D9"/>
    <w:rsid w:val="003604CE"/>
    <w:rsid w:val="00367803"/>
    <w:rsid w:val="00370E47"/>
    <w:rsid w:val="00372A03"/>
    <w:rsid w:val="003730EF"/>
    <w:rsid w:val="003742AC"/>
    <w:rsid w:val="0037443C"/>
    <w:rsid w:val="003744A0"/>
    <w:rsid w:val="00377CE1"/>
    <w:rsid w:val="00383C85"/>
    <w:rsid w:val="00385714"/>
    <w:rsid w:val="00385BF0"/>
    <w:rsid w:val="00390400"/>
    <w:rsid w:val="0039057D"/>
    <w:rsid w:val="003921EB"/>
    <w:rsid w:val="003939FF"/>
    <w:rsid w:val="0039564B"/>
    <w:rsid w:val="003A0575"/>
    <w:rsid w:val="003A2223"/>
    <w:rsid w:val="003A2A0F"/>
    <w:rsid w:val="003A3AF4"/>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58F0"/>
    <w:rsid w:val="00437447"/>
    <w:rsid w:val="00441A92"/>
    <w:rsid w:val="004428EF"/>
    <w:rsid w:val="0044423D"/>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1DF6"/>
    <w:rsid w:val="0046693A"/>
    <w:rsid w:val="004669E2"/>
    <w:rsid w:val="004703FE"/>
    <w:rsid w:val="00470C31"/>
    <w:rsid w:val="004734D0"/>
    <w:rsid w:val="0047475A"/>
    <w:rsid w:val="0047556B"/>
    <w:rsid w:val="00476793"/>
    <w:rsid w:val="00477768"/>
    <w:rsid w:val="00477958"/>
    <w:rsid w:val="00480B0F"/>
    <w:rsid w:val="00482BC7"/>
    <w:rsid w:val="00483551"/>
    <w:rsid w:val="00483F3E"/>
    <w:rsid w:val="00486ACF"/>
    <w:rsid w:val="00490255"/>
    <w:rsid w:val="00492BC5"/>
    <w:rsid w:val="00493434"/>
    <w:rsid w:val="004964F1"/>
    <w:rsid w:val="004A0F7C"/>
    <w:rsid w:val="004A16BC"/>
    <w:rsid w:val="004A2B94"/>
    <w:rsid w:val="004A4B46"/>
    <w:rsid w:val="004A5281"/>
    <w:rsid w:val="004A68C2"/>
    <w:rsid w:val="004A7419"/>
    <w:rsid w:val="004A7D56"/>
    <w:rsid w:val="004B72BA"/>
    <w:rsid w:val="004B7C0C"/>
    <w:rsid w:val="004C379F"/>
    <w:rsid w:val="004C3898"/>
    <w:rsid w:val="004C7E2C"/>
    <w:rsid w:val="004D212A"/>
    <w:rsid w:val="004D36B1"/>
    <w:rsid w:val="004D7EBD"/>
    <w:rsid w:val="004E2680"/>
    <w:rsid w:val="004E28F9"/>
    <w:rsid w:val="004E3F61"/>
    <w:rsid w:val="004E462E"/>
    <w:rsid w:val="004E56DC"/>
    <w:rsid w:val="004E6092"/>
    <w:rsid w:val="004E6727"/>
    <w:rsid w:val="004E72C3"/>
    <w:rsid w:val="004E76F4"/>
    <w:rsid w:val="004F0B4E"/>
    <w:rsid w:val="004F0B6C"/>
    <w:rsid w:val="004F2078"/>
    <w:rsid w:val="004F4DA3"/>
    <w:rsid w:val="00500884"/>
    <w:rsid w:val="00501D8D"/>
    <w:rsid w:val="00506557"/>
    <w:rsid w:val="0050677A"/>
    <w:rsid w:val="005108D8"/>
    <w:rsid w:val="005116F9"/>
    <w:rsid w:val="00511A2E"/>
    <w:rsid w:val="005153A7"/>
    <w:rsid w:val="00517AD0"/>
    <w:rsid w:val="0052037E"/>
    <w:rsid w:val="00520D36"/>
    <w:rsid w:val="005219CF"/>
    <w:rsid w:val="005238BB"/>
    <w:rsid w:val="00524525"/>
    <w:rsid w:val="00527027"/>
    <w:rsid w:val="00527DF4"/>
    <w:rsid w:val="00530FD1"/>
    <w:rsid w:val="00531A4E"/>
    <w:rsid w:val="00534B59"/>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8206C"/>
    <w:rsid w:val="00582809"/>
    <w:rsid w:val="0058798C"/>
    <w:rsid w:val="00587FA9"/>
    <w:rsid w:val="005900FA"/>
    <w:rsid w:val="0059175A"/>
    <w:rsid w:val="00591876"/>
    <w:rsid w:val="005935A4"/>
    <w:rsid w:val="0059472E"/>
    <w:rsid w:val="005948C2"/>
    <w:rsid w:val="00594F68"/>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57EC2"/>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72"/>
    <w:rsid w:val="00692EDE"/>
    <w:rsid w:val="00695FC2"/>
    <w:rsid w:val="00696949"/>
    <w:rsid w:val="00697052"/>
    <w:rsid w:val="006A1272"/>
    <w:rsid w:val="006A18D5"/>
    <w:rsid w:val="006A46FB"/>
    <w:rsid w:val="006A5E1E"/>
    <w:rsid w:val="006A5E28"/>
    <w:rsid w:val="006A697B"/>
    <w:rsid w:val="006A7AFF"/>
    <w:rsid w:val="006B0BB5"/>
    <w:rsid w:val="006B1816"/>
    <w:rsid w:val="006B2099"/>
    <w:rsid w:val="006B50CF"/>
    <w:rsid w:val="006B7BE2"/>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490"/>
    <w:rsid w:val="00785BC6"/>
    <w:rsid w:val="007925EA"/>
    <w:rsid w:val="00792A09"/>
    <w:rsid w:val="007935D9"/>
    <w:rsid w:val="00793CD8"/>
    <w:rsid w:val="007950A8"/>
    <w:rsid w:val="00795C92"/>
    <w:rsid w:val="00796231"/>
    <w:rsid w:val="007966F9"/>
    <w:rsid w:val="00796F94"/>
    <w:rsid w:val="007A1CB3"/>
    <w:rsid w:val="007A306F"/>
    <w:rsid w:val="007A43A6"/>
    <w:rsid w:val="007A58A6"/>
    <w:rsid w:val="007A6AD0"/>
    <w:rsid w:val="007A719B"/>
    <w:rsid w:val="007B3D2D"/>
    <w:rsid w:val="007B50AE"/>
    <w:rsid w:val="007B51DF"/>
    <w:rsid w:val="007B5213"/>
    <w:rsid w:val="007B68C1"/>
    <w:rsid w:val="007C05DD"/>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4A88"/>
    <w:rsid w:val="00895386"/>
    <w:rsid w:val="008957AE"/>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CF4"/>
    <w:rsid w:val="009A0DA8"/>
    <w:rsid w:val="009A0FBA"/>
    <w:rsid w:val="009A1601"/>
    <w:rsid w:val="009A16B9"/>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14E0"/>
    <w:rsid w:val="009E2A13"/>
    <w:rsid w:val="009E35DB"/>
    <w:rsid w:val="009E47A3"/>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92879"/>
    <w:rsid w:val="00A937F3"/>
    <w:rsid w:val="00A9442A"/>
    <w:rsid w:val="00A971B3"/>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9E1"/>
    <w:rsid w:val="00B11E1B"/>
    <w:rsid w:val="00B157F9"/>
    <w:rsid w:val="00B20256"/>
    <w:rsid w:val="00B20D09"/>
    <w:rsid w:val="00B22452"/>
    <w:rsid w:val="00B225A5"/>
    <w:rsid w:val="00B23120"/>
    <w:rsid w:val="00B2686F"/>
    <w:rsid w:val="00B2763F"/>
    <w:rsid w:val="00B27AAC"/>
    <w:rsid w:val="00B30431"/>
    <w:rsid w:val="00B3057C"/>
    <w:rsid w:val="00B30929"/>
    <w:rsid w:val="00B35CA3"/>
    <w:rsid w:val="00B372AA"/>
    <w:rsid w:val="00B37748"/>
    <w:rsid w:val="00B40445"/>
    <w:rsid w:val="00B41888"/>
    <w:rsid w:val="00B45A52"/>
    <w:rsid w:val="00B46175"/>
    <w:rsid w:val="00B503A6"/>
    <w:rsid w:val="00B5100C"/>
    <w:rsid w:val="00B5200E"/>
    <w:rsid w:val="00B664C7"/>
    <w:rsid w:val="00B67E5E"/>
    <w:rsid w:val="00B739F6"/>
    <w:rsid w:val="00B7618F"/>
    <w:rsid w:val="00B8088E"/>
    <w:rsid w:val="00B816EA"/>
    <w:rsid w:val="00B81A6C"/>
    <w:rsid w:val="00B81B0D"/>
    <w:rsid w:val="00B83BC0"/>
    <w:rsid w:val="00B85DE5"/>
    <w:rsid w:val="00B860A0"/>
    <w:rsid w:val="00B90301"/>
    <w:rsid w:val="00B9077F"/>
    <w:rsid w:val="00B90F73"/>
    <w:rsid w:val="00B92EA3"/>
    <w:rsid w:val="00B933DE"/>
    <w:rsid w:val="00B93B59"/>
    <w:rsid w:val="00B9406A"/>
    <w:rsid w:val="00BA1B89"/>
    <w:rsid w:val="00BA2280"/>
    <w:rsid w:val="00BA2864"/>
    <w:rsid w:val="00BA2A08"/>
    <w:rsid w:val="00BA56D2"/>
    <w:rsid w:val="00BA76E0"/>
    <w:rsid w:val="00BB19ED"/>
    <w:rsid w:val="00BB246D"/>
    <w:rsid w:val="00BB2A25"/>
    <w:rsid w:val="00BB51E9"/>
    <w:rsid w:val="00BB7AFF"/>
    <w:rsid w:val="00BC0FDC"/>
    <w:rsid w:val="00BC15A2"/>
    <w:rsid w:val="00BC3053"/>
    <w:rsid w:val="00BC4D2E"/>
    <w:rsid w:val="00BD09F7"/>
    <w:rsid w:val="00BD184A"/>
    <w:rsid w:val="00BD48AC"/>
    <w:rsid w:val="00BD5F1A"/>
    <w:rsid w:val="00BD73A3"/>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EBD"/>
    <w:rsid w:val="00C10F3D"/>
    <w:rsid w:val="00C12107"/>
    <w:rsid w:val="00C14AEC"/>
    <w:rsid w:val="00C14D4B"/>
    <w:rsid w:val="00C154BB"/>
    <w:rsid w:val="00C17B3E"/>
    <w:rsid w:val="00C20923"/>
    <w:rsid w:val="00C22738"/>
    <w:rsid w:val="00C25B67"/>
    <w:rsid w:val="00C279B5"/>
    <w:rsid w:val="00C27C45"/>
    <w:rsid w:val="00C34CE1"/>
    <w:rsid w:val="00C36612"/>
    <w:rsid w:val="00C36C34"/>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2EF4"/>
    <w:rsid w:val="00C73E63"/>
    <w:rsid w:val="00C75D2F"/>
    <w:rsid w:val="00C767BE"/>
    <w:rsid w:val="00C76E3C"/>
    <w:rsid w:val="00C8004C"/>
    <w:rsid w:val="00C81568"/>
    <w:rsid w:val="00C8725C"/>
    <w:rsid w:val="00C8739A"/>
    <w:rsid w:val="00C87E89"/>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5C48"/>
    <w:rsid w:val="00D068D4"/>
    <w:rsid w:val="00D10249"/>
    <w:rsid w:val="00D115C3"/>
    <w:rsid w:val="00D11897"/>
    <w:rsid w:val="00D13135"/>
    <w:rsid w:val="00D13E4E"/>
    <w:rsid w:val="00D140E7"/>
    <w:rsid w:val="00D239A7"/>
    <w:rsid w:val="00D23F47"/>
    <w:rsid w:val="00D25712"/>
    <w:rsid w:val="00D25792"/>
    <w:rsid w:val="00D31491"/>
    <w:rsid w:val="00D32A9B"/>
    <w:rsid w:val="00D36E71"/>
    <w:rsid w:val="00D3710F"/>
    <w:rsid w:val="00D37987"/>
    <w:rsid w:val="00D37D87"/>
    <w:rsid w:val="00D40B33"/>
    <w:rsid w:val="00D4165C"/>
    <w:rsid w:val="00D4318F"/>
    <w:rsid w:val="00D438BF"/>
    <w:rsid w:val="00D440F8"/>
    <w:rsid w:val="00D44A1E"/>
    <w:rsid w:val="00D546FF"/>
    <w:rsid w:val="00D55AD5"/>
    <w:rsid w:val="00D576CA"/>
    <w:rsid w:val="00D61AF5"/>
    <w:rsid w:val="00D652B5"/>
    <w:rsid w:val="00D66155"/>
    <w:rsid w:val="00D673F9"/>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A02AF"/>
    <w:rsid w:val="00DA305E"/>
    <w:rsid w:val="00DA5417"/>
    <w:rsid w:val="00DA56E8"/>
    <w:rsid w:val="00DB0A9F"/>
    <w:rsid w:val="00DB2B16"/>
    <w:rsid w:val="00DB377D"/>
    <w:rsid w:val="00DB4FC3"/>
    <w:rsid w:val="00DB62C7"/>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BE1"/>
    <w:rsid w:val="00E07842"/>
    <w:rsid w:val="00E110E7"/>
    <w:rsid w:val="00E11B20"/>
    <w:rsid w:val="00E12BA4"/>
    <w:rsid w:val="00E14C07"/>
    <w:rsid w:val="00E177A7"/>
    <w:rsid w:val="00E17FA2"/>
    <w:rsid w:val="00E22330"/>
    <w:rsid w:val="00E24725"/>
    <w:rsid w:val="00E25BD9"/>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87A"/>
    <w:rsid w:val="00EB2889"/>
    <w:rsid w:val="00EB4EA2"/>
    <w:rsid w:val="00EC1E6C"/>
    <w:rsid w:val="00EC27C6"/>
    <w:rsid w:val="00EC4207"/>
    <w:rsid w:val="00EC5653"/>
    <w:rsid w:val="00EC5BF9"/>
    <w:rsid w:val="00EC71CE"/>
    <w:rsid w:val="00ED1006"/>
    <w:rsid w:val="00ED2AAD"/>
    <w:rsid w:val="00ED4733"/>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2759"/>
    <w:rsid w:val="00F2376F"/>
    <w:rsid w:val="00F243D8"/>
    <w:rsid w:val="00F25DC6"/>
    <w:rsid w:val="00F30828"/>
    <w:rsid w:val="00F313D6"/>
    <w:rsid w:val="00F354B5"/>
    <w:rsid w:val="00F36E17"/>
    <w:rsid w:val="00F40F0C"/>
    <w:rsid w:val="00F42239"/>
    <w:rsid w:val="00F45221"/>
    <w:rsid w:val="00F4766C"/>
    <w:rsid w:val="00F50548"/>
    <w:rsid w:val="00F507D1"/>
    <w:rsid w:val="00F519CE"/>
    <w:rsid w:val="00F51ADA"/>
    <w:rsid w:val="00F522EF"/>
    <w:rsid w:val="00F56091"/>
    <w:rsid w:val="00F607C5"/>
    <w:rsid w:val="00F60DEA"/>
    <w:rsid w:val="00F61D1D"/>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6B52"/>
    <w:rsid w:val="00F974D0"/>
    <w:rsid w:val="00F97838"/>
    <w:rsid w:val="00FA0C89"/>
    <w:rsid w:val="00FA2BB3"/>
    <w:rsid w:val="00FB0C15"/>
    <w:rsid w:val="00FB1944"/>
    <w:rsid w:val="00FB2029"/>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3C1F"/>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9121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395587474">
      <w:bodyDiv w:val="1"/>
      <w:marLeft w:val="0"/>
      <w:marRight w:val="0"/>
      <w:marTop w:val="0"/>
      <w:marBottom w:val="0"/>
      <w:divBdr>
        <w:top w:val="none" w:sz="0" w:space="0" w:color="auto"/>
        <w:left w:val="none" w:sz="0" w:space="0" w:color="auto"/>
        <w:bottom w:val="none" w:sz="0" w:space="0" w:color="auto"/>
        <w:right w:val="none" w:sz="0" w:space="0" w:color="auto"/>
      </w:divBdr>
      <w:divsChild>
        <w:div w:id="1495873115">
          <w:marLeft w:val="1411"/>
          <w:marRight w:val="0"/>
          <w:marTop w:val="72"/>
          <w:marBottom w:val="0"/>
          <w:divBdr>
            <w:top w:val="none" w:sz="0" w:space="0" w:color="auto"/>
            <w:left w:val="none" w:sz="0" w:space="0" w:color="auto"/>
            <w:bottom w:val="none" w:sz="0" w:space="0" w:color="auto"/>
            <w:right w:val="none" w:sz="0" w:space="0" w:color="auto"/>
          </w:divBdr>
        </w:div>
        <w:div w:id="1144009962">
          <w:marLeft w:val="1411"/>
          <w:marRight w:val="0"/>
          <w:marTop w:val="72"/>
          <w:marBottom w:val="0"/>
          <w:divBdr>
            <w:top w:val="none" w:sz="0" w:space="0" w:color="auto"/>
            <w:left w:val="none" w:sz="0" w:space="0" w:color="auto"/>
            <w:bottom w:val="none" w:sz="0" w:space="0" w:color="auto"/>
            <w:right w:val="none" w:sz="0" w:space="0" w:color="auto"/>
          </w:divBdr>
        </w:div>
        <w:div w:id="768504436">
          <w:marLeft w:val="1973"/>
          <w:marRight w:val="0"/>
          <w:marTop w:val="72"/>
          <w:marBottom w:val="0"/>
          <w:divBdr>
            <w:top w:val="none" w:sz="0" w:space="0" w:color="auto"/>
            <w:left w:val="none" w:sz="0" w:space="0" w:color="auto"/>
            <w:bottom w:val="none" w:sz="0" w:space="0" w:color="auto"/>
            <w:right w:val="none" w:sz="0" w:space="0" w:color="auto"/>
          </w:divBdr>
        </w:div>
        <w:div w:id="514929762">
          <w:marLeft w:val="1411"/>
          <w:marRight w:val="0"/>
          <w:marTop w:val="72"/>
          <w:marBottom w:val="0"/>
          <w:divBdr>
            <w:top w:val="none" w:sz="0" w:space="0" w:color="auto"/>
            <w:left w:val="none" w:sz="0" w:space="0" w:color="auto"/>
            <w:bottom w:val="none" w:sz="0" w:space="0" w:color="auto"/>
            <w:right w:val="none" w:sz="0" w:space="0" w:color="auto"/>
          </w:divBdr>
        </w:div>
        <w:div w:id="819227471">
          <w:marLeft w:val="1411"/>
          <w:marRight w:val="0"/>
          <w:marTop w:val="72"/>
          <w:marBottom w:val="0"/>
          <w:divBdr>
            <w:top w:val="none" w:sz="0" w:space="0" w:color="auto"/>
            <w:left w:val="none" w:sz="0" w:space="0" w:color="auto"/>
            <w:bottom w:val="none" w:sz="0" w:space="0" w:color="auto"/>
            <w:right w:val="none" w:sz="0" w:space="0" w:color="auto"/>
          </w:divBdr>
        </w:div>
        <w:div w:id="889849513">
          <w:marLeft w:val="1973"/>
          <w:marRight w:val="0"/>
          <w:marTop w:val="72"/>
          <w:marBottom w:val="0"/>
          <w:divBdr>
            <w:top w:val="none" w:sz="0" w:space="0" w:color="auto"/>
            <w:left w:val="none" w:sz="0" w:space="0" w:color="auto"/>
            <w:bottom w:val="none" w:sz="0" w:space="0" w:color="auto"/>
            <w:right w:val="none" w:sz="0" w:space="0" w:color="auto"/>
          </w:divBdr>
        </w:div>
      </w:divsChild>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32629236">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0025784">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882330350">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951060333">
      <w:bodyDiv w:val="1"/>
      <w:marLeft w:val="0"/>
      <w:marRight w:val="0"/>
      <w:marTop w:val="0"/>
      <w:marBottom w:val="0"/>
      <w:divBdr>
        <w:top w:val="none" w:sz="0" w:space="0" w:color="auto"/>
        <w:left w:val="none" w:sz="0" w:space="0" w:color="auto"/>
        <w:bottom w:val="none" w:sz="0" w:space="0" w:color="auto"/>
        <w:right w:val="none" w:sz="0" w:space="0" w:color="auto"/>
      </w:divBdr>
    </w:div>
    <w:div w:id="1025865706">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56887190">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75A8-AC17-4E10-B2CD-8466F3BD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140</TotalTime>
  <Pages>6</Pages>
  <Words>1865</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Laetitia Falconetti</cp:lastModifiedBy>
  <cp:revision>29</cp:revision>
  <cp:lastPrinted>2008-01-31T07:09:00Z</cp:lastPrinted>
  <dcterms:created xsi:type="dcterms:W3CDTF">2016-03-14T12:04:00Z</dcterms:created>
  <dcterms:modified xsi:type="dcterms:W3CDTF">2016-04-01T16:36:00Z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